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80" w:right="100" w:hanging="572"/>
        <w:spacing w:after="0" w:line="237"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40" w:hanging="572"/>
        <w:spacing w:after="0" w:line="262" w:lineRule="auto"/>
        <w:tabs>
          <w:tab w:leader="none" w:pos="5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380" w:hanging="572"/>
        <w:spacing w:after="0" w:line="262" w:lineRule="auto"/>
        <w:tabs>
          <w:tab w:leader="none" w:pos="58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11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001-42208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XCHG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XCharge Europe GmbH, Heselstücken 18,</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22453 Hamburg, Germany</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XCharge Energy USA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19121 Marketplace Avenue, Building 2-Suite 2-145</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Kyle, TX 78640</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Yifei Hou</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 +49 4057128593</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E-mail: simon@xcharge.com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0"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XCharge Europe GmbH, Heselstücken 18,</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22453 Hamburg, Germany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6"/>
                <w:szCs w:val="16"/>
                <w:color w:val="auto"/>
              </w:rPr>
            </w:pPr>
          </w:p>
        </w:tc>
        <w:tc>
          <w:tcPr>
            <w:tcW w:w="36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6"/>
                <w:szCs w:val="16"/>
                <w:color w:val="auto"/>
              </w:rPr>
            </w:pPr>
          </w:p>
        </w:tc>
        <w:tc>
          <w:tcPr>
            <w:tcW w:w="3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24"/>
        </w:trPr>
        <w:tc>
          <w:tcPr>
            <w:tcW w:w="37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American depositary shares, each representing 40 Class A</w:t>
            </w:r>
          </w:p>
        </w:tc>
        <w:tc>
          <w:tcPr>
            <w:tcW w:w="140" w:type="dxa"/>
            <w:vAlign w:val="bottom"/>
          </w:tcPr>
          <w:p>
            <w:pPr>
              <w:spacing w:after="0"/>
              <w:rPr>
                <w:sz w:val="10"/>
                <w:szCs w:val="10"/>
                <w:color w:val="auto"/>
              </w:rPr>
            </w:pPr>
          </w:p>
        </w:tc>
        <w:tc>
          <w:tcPr>
            <w:tcW w:w="3600" w:type="dxa"/>
            <w:vAlign w:val="bottom"/>
          </w:tcPr>
          <w:p>
            <w:pPr>
              <w:ind w:left="1580"/>
              <w:spacing w:after="0" w:line="124" w:lineRule="exact"/>
              <w:rPr>
                <w:sz w:val="20"/>
                <w:szCs w:val="20"/>
                <w:color w:val="auto"/>
              </w:rPr>
            </w:pPr>
            <w:r>
              <w:rPr>
                <w:rFonts w:ascii="Times New Roman" w:cs="Times New Roman" w:eastAsia="Times New Roman" w:hAnsi="Times New Roman"/>
                <w:sz w:val="14"/>
                <w:szCs w:val="14"/>
                <w:b w:val="1"/>
                <w:bCs w:val="1"/>
                <w:color w:val="auto"/>
              </w:rPr>
              <w:t>XCH</w:t>
            </w:r>
          </w:p>
        </w:tc>
        <w:tc>
          <w:tcPr>
            <w:tcW w:w="140" w:type="dxa"/>
            <w:vAlign w:val="bottom"/>
          </w:tcPr>
          <w:p>
            <w:pPr>
              <w:spacing w:after="0"/>
              <w:rPr>
                <w:sz w:val="10"/>
                <w:szCs w:val="10"/>
                <w:color w:val="auto"/>
              </w:rPr>
            </w:pPr>
          </w:p>
        </w:tc>
        <w:tc>
          <w:tcPr>
            <w:tcW w:w="3620" w:type="dxa"/>
            <w:vAlign w:val="bottom"/>
          </w:tcPr>
          <w:p>
            <w:pPr>
              <w:ind w:left="900"/>
              <w:spacing w:after="0" w:line="124" w:lineRule="exact"/>
              <w:rPr>
                <w:sz w:val="20"/>
                <w:szCs w:val="20"/>
                <w:color w:val="auto"/>
              </w:rPr>
            </w:pPr>
            <w:r>
              <w:rPr>
                <w:rFonts w:ascii="Times New Roman" w:cs="Times New Roman" w:eastAsia="Times New Roman" w:hAnsi="Times New Roman"/>
                <w:sz w:val="14"/>
                <w:szCs w:val="14"/>
                <w:b w:val="1"/>
                <w:bCs w:val="1"/>
                <w:color w:val="auto"/>
              </w:rPr>
              <w:t>The Nasdaq Global Market</w:t>
            </w:r>
          </w:p>
        </w:tc>
      </w:tr>
      <w:tr>
        <w:trPr>
          <w:trHeight w:val="148"/>
        </w:trPr>
        <w:tc>
          <w:tcPr>
            <w:tcW w:w="3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par value US$0.00001 per share</w:t>
            </w: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 par value US$0.00001 per share*</w:t>
            </w: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tcPr>
          <w:p>
            <w:pPr>
              <w:spacing w:after="0"/>
              <w:rPr>
                <w:sz w:val="16"/>
                <w:szCs w:val="16"/>
                <w:color w:val="auto"/>
              </w:rPr>
            </w:pPr>
          </w:p>
        </w:tc>
      </w:tr>
    </w:tbl>
    <w:p>
      <w:pPr>
        <w:spacing w:after="0" w:line="41"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for trading, but only in connection with the listing of the American depositary shares on the Nasdaq Global Market.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69"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4"/>
          <w:szCs w:val="14"/>
          <w:color w:val="auto"/>
        </w:rPr>
        <w:t>There were 2,901,565,362 ordinary shares, comprised of 2,160,310,915 Class A ordinary shares, par value US$0.00001 per share, and 741,254,447 Class B ordinary shares, par value US$0.00001 per share, as of December 31, 2025.</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0"/>
          <w:szCs w:val="20"/>
          <w:color w:val="auto"/>
        </w:rPr>
      </w:pPr>
    </w:p>
    <w:p>
      <w:pPr>
        <w:ind w:right="80"/>
        <w:spacing w:after="0" w:line="208"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14"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Accelerated Filer</w:t>
            </w:r>
          </w:p>
        </w:tc>
        <w:tc>
          <w:tcPr>
            <w:tcW w:w="1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1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p>
    <w:p>
      <w:pPr>
        <w:ind w:left="260" w:right="280" w:hanging="252"/>
        <w:spacing w:after="0" w:line="261" w:lineRule="auto"/>
        <w:tabs>
          <w:tab w:leader="none" w:pos="29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14" w:lineRule="exact"/>
        <w:rPr>
          <w:sz w:val="20"/>
          <w:szCs w:val="20"/>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51" w:lineRule="exact"/>
        <w:rPr>
          <w:sz w:val="20"/>
          <w:szCs w:val="20"/>
          <w:color w:val="auto"/>
        </w:rPr>
      </w:pPr>
    </w:p>
    <w:p>
      <w:pPr>
        <w:ind w:left="3720" w:hanging="3711"/>
        <w:spacing w:after="0" w:line="242" w:lineRule="exact"/>
        <w:tabs>
          <w:tab w:leader="none" w:pos="370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International Financial Reporting Standards as issued by the Other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International Accounting Standards Board </w:t>
      </w:r>
      <w:r>
        <w:rPr>
          <w:rFonts w:ascii="MS PGothic" w:cs="MS PGothic" w:eastAsia="MS PGothic" w:hAnsi="MS PGothic"/>
          <w:sz w:val="14"/>
          <w:szCs w:val="14"/>
          <w:color w:val="auto"/>
        </w:rPr>
        <w:t>☐</w:t>
      </w:r>
    </w:p>
    <w:p>
      <w:pPr>
        <w:spacing w:after="0" w:line="163" w:lineRule="exact"/>
        <w:rPr>
          <w:sz w:val="20"/>
          <w:szCs w:val="20"/>
          <w:color w:val="auto"/>
        </w:rPr>
      </w:pPr>
    </w:p>
    <w:p>
      <w:pPr>
        <w:ind w:right="920"/>
        <w:spacing w:after="0" w:line="249"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55" w:lineRule="exact"/>
        <w:rPr>
          <w:sz w:val="20"/>
          <w:szCs w:val="20"/>
          <w:color w:val="auto"/>
        </w:rPr>
      </w:pPr>
    </w:p>
    <w:p>
      <w:pPr>
        <w:ind w:right="4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391"/>
        </w:trPr>
        <w:tc>
          <w:tcPr>
            <w:tcW w:w="1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INTRODUCTION</w:t>
            </w:r>
          </w:p>
        </w:tc>
        <w:tc>
          <w:tcPr>
            <w:tcW w:w="20" w:type="dxa"/>
            <w:vAlign w:val="bottom"/>
            <w:tcBorders>
              <w:bottom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ii</w:t>
            </w:r>
          </w:p>
        </w:tc>
      </w:tr>
      <w:tr>
        <w:trPr>
          <w:trHeight w:val="196"/>
        </w:trPr>
        <w:tc>
          <w:tcPr>
            <w:tcW w:w="10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iii</w:t>
            </w:r>
          </w:p>
        </w:tc>
      </w:tr>
      <w:tr>
        <w:trPr>
          <w:trHeight w:val="196"/>
        </w:trPr>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20" w:type="dxa"/>
            <w:vAlign w:val="bottom"/>
            <w:tcBorders>
              <w:top w:val="single" w:sz="8" w:color="0000FF"/>
              <w:bottom w:val="single" w:sz="8" w:color="0000EE"/>
            </w:tcBorders>
          </w:tcPr>
          <w:p>
            <w:pPr>
              <w:spacing w:after="0"/>
              <w:rPr>
                <w:sz w:val="17"/>
                <w:szCs w:val="17"/>
                <w:color w:val="auto"/>
              </w:rPr>
            </w:pPr>
          </w:p>
        </w:tc>
        <w:tc>
          <w:tcPr>
            <w:tcW w:w="820" w:type="dxa"/>
            <w:vAlign w:val="bottom"/>
            <w:tcBorders>
              <w:top w:val="single" w:sz="8" w:color="0000FF"/>
            </w:tcBorders>
            <w:gridSpan w:val="8"/>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4A.</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10.</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11.</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13.</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14.</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15.</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16A.</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16B.</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16C.</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16D.</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left w:val="single" w:sz="8" w:color="0000FF"/>
            </w:tcBorders>
            <w:gridSpan w:val="7"/>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16E.</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left w:val="single" w:sz="8" w:color="0000FF"/>
            </w:tcBorders>
            <w:gridSpan w:val="7"/>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16F.</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left w:val="single" w:sz="8" w:color="0000FF"/>
            </w:tcBorders>
            <w:gridSpan w:val="7"/>
            <w:shd w:val="clear" w:color="auto" w:fill="0000FF"/>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16G.</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16H.</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16I.</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580" w:type="dxa"/>
            <w:vAlign w:val="bottom"/>
            <w:tcBorders>
              <w:left w:val="single" w:sz="8" w:color="0000FF"/>
            </w:tcBorders>
            <w:gridSpan w:val="1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16J.</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26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16K.</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70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17.</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646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18.</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646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19.</w:t>
            </w:r>
          </w:p>
        </w:tc>
        <w:tc>
          <w:tcPr>
            <w:tcW w:w="87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where the context otherwise indicates and for the purpose of this annual report only:</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American depositary shares, each of which represents 40 Class A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“X-Charge Technology” refers to Beijing X-Charge Technology Co., Ltd.;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only in the context of describing PRC laws, regulations and other legal or tax matters in this annual report, excludes Hong Kong, Macau and Taiwan;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“EUR” or “€” refers to the common currency of the European Economic and Monetary Union;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refers to XCHG Limited and its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ordinary shares and Class B ordinary shares, par value US$0.00001 per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refer to the legal currency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refers to the end user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“XCharge Europe” refers to XCharge Europe GmbH;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“XCharge North America” refers to XCharge Energy USA Inc.;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“XCHG Limited,” the “company,” “we,” “our,” “ours,” “us” or similar terms refer to XCHG Limited, a Cayman Islands company, which includes its subsidiaries in the context of describing our consolidated financial information, business operations and operating data.</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euro to U.S. dollars, from U.S. dollars to euro, from Renminbi to U.S. dollars and from U.S. dollars to Renminbi in this annual report are made at EUR1.1717 to US$1.00 and RMB7.0288 to US$1.00, the exchange rates set forth in the H.10 statistical release of the Federal Reserve Board on December 31, 2025. We make no representation that any amounts could have been, or could be, converted into another currency, as the case may be, at any particular rate, the rates stated below, or at all.</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contains information and statistics relating to China’s economy and the EV charger industry derived from various publications issued by market research companies and PRC governmental entities, which have not been independently verified by us. The information in such sources may not be consistent with other information compiled in or outside China. Such information involves a number of assumptions and limitations, and you are cautioned not to give undue weight to these estimates. The industry in which we operate is subject to a high degree of uncertainty and risk due to a variety of factors, including those described in the “Risk Factors” section. These and other factors could cause results to differ materially from those expressed in these publications and reports.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within the meaning of the safe harbor provision of the United States Private Securities Litigation Reform Act of 1995 and releases issued by the Securities and Exchange Commission (the “SEC”) and within the meaning of Section 27A of the Securities Act and Section 21E of the Exchange Act. These forward-looking statements include information concerning possible or projected future results of our operations, including statements about potential acquisition or merger targets, strategies or plans; business strategies; prospects; future cash flows; financing plans; plans and objectives of management; any other statements regarding future cash needs, future operations, business plans and future financial results; and any other statements that are not historical facts. Many of the forward-looking statements contained in this annual report can be identified by the use of forward-looking words such as “anticipate,” “believe,” “could,” “expect,” “should,” “plan,” “intend,” “estimate,” “potential” and other words and terms of similar meaning or the negative of such terms.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development and introduction, and market acceptance,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in, and market size of, the global EV charger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brand,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growth in our customers and level of engagement;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monetize our customer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technologies and/or upgrade our existing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and trends of competition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of the markets in which we have businesses.</w:t>
      </w:r>
    </w:p>
    <w:p>
      <w:pPr>
        <w:spacing w:after="0" w:line="22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53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are a holding company with no material operations of our own. We conduct all of our operations through our subsidiaries. As a result, for our cash requirements, including any payment of dividends to our shareholders, we rely upon dividends paid by our subsidiaries. If our subsidiaries incur debt on their own behalf in the future, the instruments governing their debt may restrict their ability to pay dividends to us.</w:t>
      </w:r>
    </w:p>
    <w:p>
      <w:pPr>
        <w:spacing w:after="0" w:line="14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Regulations in local jurisdictions where we utilize dividend payments may restrict the ability of our subsidiaries to pay dividends to us. Specifically, our subsidiary in China is permitted to pay dividends to us only out of its retained earnings, if any, as determined in accordance with the Accounting Standards for Business Enterprise as promulgated by the Ministry of Finance of the PRC,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PRC GAAP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Pursuant to the law applicable to China’s foreign investment enterprise, our subsidiaries in China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is at our subsidiary’s discretion. In addition, the full amount of a dividend distributed by our German subsidiary to us is generally subject to (final) German withholding tax at an aggregate rate of 26.375%.</w:t>
      </w:r>
    </w:p>
    <w:p>
      <w:pPr>
        <w:spacing w:after="0" w:line="1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231F20"/>
        </w:rPr>
        <w:t>See “Item 4. Information on the Company—4.B. Business Overview—Regulation—PRC—Regulations Relating to Foreign Exchange and Dividend Distribution—Regulations on Dividend Distributions,” and “Item 3. Key Information—3.D. Risk Factors—Risks Related to the ADSs—Because we do not expect to pay dividends in the foreseeable future, you must rely on a price appreciation of the ADSs for a return on your investment.”</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all of our significant subsidiaries, as “significant” is defined under Section 1-02 of Regulation S-X under the Securities Act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53975</wp:posOffset>
            </wp:positionV>
            <wp:extent cx="5777865" cy="304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7786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may be transferred among XCHG Limited and our subsidiaries in the following manner: (i) funds may be transferred to our subsidiaries from the company as needed in the form of capital contributions or shareholder loans through intermediary holding companies, as the case may be; and (ii) dividends or other distributions may be paid by our subsidiaries to the company directly or through intermediary holding companies, as the case may be. Our operating subsidiaries generate and retain cash generated from operating activities and re-invest it in our business. In the future, the company’s ability to pay dividends, if any, to its shareholders and ADS holders and to service any debt it may incur will depend upon dividends paid by our subsidiaries. As of the date of this annual report, we do not have cash management policies and procedures in place that dictate how funds are transferred through our organization.</w:t>
      </w:r>
    </w:p>
    <w:p>
      <w:pPr>
        <w:spacing w:after="0" w:line="18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may engage in intra-group loans and transactions among the entities within our Group from time to time. Other than US$350,000 in loans to one of our subsidiaries for fund support in 2023, the cash transfers within our Group in connection with our restructuring in 2023 for our initial public offering and the US$400,000 loan to one of our subsidiaries in May 2025 and October 2025, respectively, as of the date of this annual report, XCHG Limited has not transferred any cash proceeds or other assets to any of our subsidiaries. Other than the restructuring in 2023, none of our subsidiaries have issued any dividends or distributions to their respective holding companies, including the company, nor have we issued any dividends or distributions to any investors of the company, as of the date of this annual report. As of December 31, 2025, there is US$564,425.04 outstanding balance of loans between the company and XCharge North America under applicable agreements to support its daily operations. We do not expect to pay dividends in the foreseeable future. In the future, cash proceeds raised from financing activities may be transferred by us through intermediary holding companies to our subsidiaries via capital contributions and shareholder loans, as the case may be, to meet the capital needs of our business operations. Remittance of dividends by a wholly foreign-owned enterprise out of China is subject to certain restrictions on currency exchange or outbound capital flows. Under PRC laws and regulations, our PRC subsidiaries are subject to certain restrictions with respect to paying dividends or otherwise transferring any of their net assets to us. Applicable PRC law permits payment of dividends to us by our operating subsidiaries in China only out of their retained earnings, if any, determined in accordance with PRC accounting standards and regulations. Our operating subsidiaries in China are also required to set aside a portion of their net income, if any, each year to fund general reserves for appropriations until this reserve has reached 50% of the related subsidiary’s registered capital. These reserves are not distributable as cash dividends. In addition, registered capital and capital reserve accounts are also restricted from distribution. For details, see “Item 4. Information on the Company—4.B. Business Overview—Regulation—PRC—Regulations Relating to Foreign Exchange and Dividend Distribution—Regulations on Dividend Distributions,” “Item 3. Key Information—3.D. Risk Factors—Risks Related to Regulations—Governmental control of currency conversion may limit our ability to utilize our revenues effectively and affect the value of your investment,” “Item 3. Key Information—3.D. Risk Factors—Risks Related to Regulations—PRC regulations relating to offshore investment activities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 We also face uncertainty with respect to indirect transfers of equity interests in PRC resident enterprises by their non-PRC holding companies,” and “Item 3. Key Information—3.D. Risk Factors—Risks Related to the ADSs —Because we do not expect to pay dividends in the foreseeable future, you must rely on a price appreciation of the ADSs for a return on your investment.”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Approvals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Operation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obtained all material licenses and approvals from relevant regulatory authorities that are material to our operations in China. The following table sets forth a list of material licenses and approvals that our PRC subsidiaries are required to obtain to carry out our operations in China as of the date of this annual report and none of such licenses and approvals obtained had been denied or rescinded.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40" w:type="dxa"/>
            <w:vAlign w:val="bottom"/>
          </w:tcPr>
          <w:p>
            <w:pPr>
              <w:spacing w:after="0"/>
              <w:rPr>
                <w:sz w:val="20"/>
                <w:szCs w:val="20"/>
                <w:color w:val="auto"/>
              </w:rPr>
            </w:pPr>
          </w:p>
        </w:tc>
        <w:tc>
          <w:tcPr>
            <w:tcW w:w="5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Entity Holding the License</w:t>
            </w:r>
          </w:p>
        </w:tc>
        <w:tc>
          <w:tcPr>
            <w:tcW w:w="260" w:type="dxa"/>
            <w:vAlign w:val="bottom"/>
          </w:tcPr>
          <w:p>
            <w:pPr>
              <w:spacing w:after="0"/>
              <w:rPr>
                <w:sz w:val="20"/>
                <w:szCs w:val="20"/>
                <w:color w:val="auto"/>
              </w:rPr>
            </w:pP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191"/>
        </w:trPr>
        <w:tc>
          <w:tcPr>
            <w:tcW w:w="4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Import and Export Goods Customs Registration</w:t>
            </w:r>
          </w:p>
        </w:tc>
        <w:tc>
          <w:tcPr>
            <w:tcW w:w="240" w:type="dxa"/>
            <w:vAlign w:val="bottom"/>
          </w:tcPr>
          <w:p>
            <w:pPr>
              <w:spacing w:after="0"/>
              <w:rPr>
                <w:sz w:val="16"/>
                <w:szCs w:val="16"/>
                <w:color w:val="auto"/>
              </w:rPr>
            </w:pPr>
          </w:p>
        </w:tc>
        <w:tc>
          <w:tcPr>
            <w:tcW w:w="5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X-Charge Technology</w:t>
            </w:r>
          </w:p>
        </w:tc>
        <w:tc>
          <w:tcPr>
            <w:tcW w:w="260" w:type="dxa"/>
            <w:vAlign w:val="bottom"/>
          </w:tcPr>
          <w:p>
            <w:pPr>
              <w:spacing w:after="0"/>
              <w:rPr>
                <w:sz w:val="16"/>
                <w:szCs w:val="16"/>
                <w:color w:val="auto"/>
              </w:rPr>
            </w:pPr>
          </w:p>
        </w:tc>
        <w:tc>
          <w:tcPr>
            <w:tcW w:w="1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Obtained</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w:t>
            </w:r>
          </w:p>
        </w:tc>
        <w:tc>
          <w:tcPr>
            <w:tcW w:w="2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Import and Export Goods Customs Filing record</w:t>
            </w:r>
          </w:p>
        </w:tc>
        <w:tc>
          <w:tcPr>
            <w:tcW w:w="24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Beijing Echarge Technology Co., Ltd.</w:t>
            </w:r>
          </w:p>
        </w:tc>
        <w:tc>
          <w:tcPr>
            <w:tcW w:w="26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Obtained</w:t>
            </w:r>
          </w:p>
        </w:tc>
      </w:tr>
    </w:tbl>
    <w:p>
      <w:pPr>
        <w:spacing w:after="0" w:line="19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and our subsidiaries have not received any requirement from Chinese authorities to obtain permissions or approvals from the China Securities Regulatory Commission (the “CSRC”) or the Cyberspace Administration of China (the “CAC”) to conduct our daily business operations in China. In addition, the PRC government has recently tightened the regulation of cybersecurity, and indicated an intent to exert more oversight and control over securities offerings and other capital markets activities that are conducted overseas and foreign investment in China-based companies like us. In connection with our prior initial public offering and Nasdaq listing status, we have submitted the relevant filing documents with the CSRC and the CSRC published the notification on our completion of the required filing procedures for our initial public offering on December 27, 2023. In addition, we are required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complete the filing with the CSRC for our future overseas securities offerings under the CSRC Filing Rules. For details of related risks, see “Item 3. Key Information—3.D. Risk Factors—Risks Related to the ADSs—The approval, filing or other administrative requirements of the CSRC or other PRC government authorities may be required in connection with our future offerings under PRC law. Furthermore, the PRC government has recently promulgated laws and regulations on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Review</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28, 2021, the CAC and several other government authorities published the Revised Cybersecurity Review Measures, which came into effect on February 15, 2022. The Revised Cybersecurity Review Measures provide that an online platform operator, which possesses personal information of at least one million users, must apply for a cybersecurity review by the CAC if it intends to be listed in foreign countries.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and do not expect to in the near future, possess over one million users’ personal information. As of the date of this annual report, we have not been involved in any investigations or become subject to a cybersecurity review initiated by any regulatory authorities based on the Revised Cybersecurity Review Measures, and we have not received any warnings or sanctions in such respect from any regulatory authorities. Based on applicable PRC laws and regulations and our communication with the relevant PRC authority, as advised by Fangda Partners, our PRC legal counsel, we do not believe that we and our subsidiaries are subject to the cybersecurity review by the CAC with respect to our initial public offering. However, we cannot assure you that the CAC would take the same view as we do, and there is no assurance that we can fully or timely comply with such laws. If we were deemed to be an “operator of critical information infrastructure” or a “data processor” controlling personal information of no less than one million users under the Revised Cybersecurity Review Measures, or if other regulations promulgated in relation to the Revised Cybersecurity Review Measures are deemed to apply to us, our securities offerings in the United States could be subject to cybersecurity review by the CAC, in the future. In the event that we are subject to any mandatory cybersecurity review and other specific actions required by the CAC, we face uncertainty as to whether any clearance or other required actions can be completed in a timely fashion or at all, which could materially and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CSRC Filing</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the Overseas Securities Offering and Listing by Domestic Companies (the “Overseas Listing Trial Measures”), and five relevant guidelines on the application of Overseas Listing Trial Measures (collectively, the “CSRC Filing Rules”), effective on March 31, 2023, requiring Chinese domestic companies’ overseas securities offerings or listings be filed with the CSRC. Pursuant to Overseas Listing Trial Measures, a filing-based regulatory system will be applied to both “direct” and “indirect” overseas offering or listing of PRC domestic companies. The “indirect overseas offering or listing” of PRC domestic companies refers to such securities offering or listing in an overseas market made in the name of an offshore entity, but based on the underlying equity, assets, earnings or other similar rights of a domestic company which operates its main business domestically. We have submitted the relevant filing documents with the CSRC in connection with our initial public offering and the CSRC published the notification on our completion of the required filing procedures for our initial public offering on December 27, 2023.</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CSRC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CSRC Filing Rules.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we may be required to obtain additional licenses, permits, filings, registrations or approvals for business operations and securities offerings in the future. If we are found to be in violation of any existing or future laws or regulations, or fail to obtain or maintain any of the required licenses, permits, filings, registrations or approvals, the relevant regulatory authorities would take action in dealing with such violations or failures in accordance with applicable laws and regulations. In addition, if we had inadvertently concluded that such licenses, approvals, permits, registrations or filings were not required, or if applicable laws, regulations or interpretations change in a way that requires us to obtain such licenses, approvals, permits, registrations or filings in the future, we may be unable to obtain such necessary licenses, approvals, permits, registrations or filings in a timely manner, or at all, and such licenses,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 our securities offerings and the value of our securities. For risks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relating to licenses and approvals required for business operations in China, see “Item 3. Key Information—3.D. Risk Factors—Risks Related to the ADSs —The approval, filing or other administrative requirements of the CSRC or other PRC government authorities may be required in connection with our future offerings under PRC law. Furthermore, the PRC government has recently promulgated laws and regulations on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Companies Accountable Act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Holding Foreign Companies Accountable Act (the “HFCAA”), which was signed into law on December 18, 2020 and amended by the Consolidated Appropriations Act, 2023, which was signed into law on December 29, 2022, if the SEC determines that we have filed audit reports issued by a registered public accounting firm from a jurisdiction where the Public Company Accounting Oversight Board (United States) (the “PCAOB”) is unable to conduct inspections and investigations for two consecutive years, the SEC will prohibit our ordinary shares or the ADSs from being traded on a national securities exchange or in the over-the-counter trading market in the United States. The Consolidated Appropriations Act, 2023 reduced the number of consecutive non-inspection years required for triggering the prohibitions under the HFCAA from three years to two years.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and investigate completely registered public accounting firms headquartered in mainland China and Hong Kong (the “2021 Determinations”). On December 15, 2022, the PCAOB vacated its 2021 Determinations and removed mainland China and Hong Kong from the list of jurisdictions where it is unable to inspect or investigate completely registered public accounting firms. In addition, our current auditor is an accounting firm based in New York that is registered with the PCAOB and is subject to laws in the United States pursuant to which the PCAOB conducts regular inspections to assess its compliance with the applicable professional standards. Therefore, we do not expect to be identified as a Commission-Identified Issuer under the HFCAA after we file this annual report on Form 20-F.</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after we file our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In the event of such prohibition, our securities could potentially be delisted by the Nasdaq.</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ordinary shares and the ADSs are prohibited from trading in the United States, there is no certainty that we will be able to list on a non-U.S. exchange or that a market for our ordinary shares will develop outside the United States. Such a prohibition would substantially impair your ability to sell or purchase the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results of operations, financial condition and prospects. See “Item 3. Key Information—3.D. Risk Factors—Risks Related to Regulations—The ADSs will be prohibited from trading in the United States under the HFCAA if the PCAOB is unable to inspect and investigate completely our auditor. The prohibition from trading the ADSs, or the threat of their being prohibited from trading, may cause the value of the ADSs to significantly decline or be worthless.”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 for the Offer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 Unless otherwise indicated, all the legal and operational risks associated with having operations in the PRC also apply to operations in Hong Kong.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Risks and uncertainties related to our business, including but not limited to,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expected growth. If we fail to manage growth effectively, our business, results of operations, financial condition and prospects could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success are highly correlated with and thus dependent upon the continuing rapid adoption of and demand for EVs.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predict our future prospects and the risks and challenges we may encounter in the rapidly evolving EV charger market.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 charger market is characterized by rapid technological change, which requires us to continue to develop new products and product innovations. Any delays in such development could adversely affect market adoption of our products and thus adversely affect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future monetization strategies will be successfully implemented or generate sustainable revenues and profit.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competition from a number of companies and expect to face significant competition in the future as the EV charger market develops.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growth will depend in significant part on our ability to increase sales of our products to our customers.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and OEMs of certain key components for our products, such as batteries. A loss of any of these partners, including as a result of a global supply shortage or major shipping disruption, could negatively affect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limited number of significant customers for a substantial portion of our revenues. The loss of any such customer, or a reduction in revenue generated from any such customer could have a material adverse effect on our business, results of operations, financial condition and prospects if they are not replaced by another large sales order.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foreign currency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expand our sales and marketing capabilities could harm our ability to increase our customer base and achieve broader market acceptance of our solutions.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high-quality products and services, or fail to maintain high availability of our products or services and strong user experience, our business and reputation will suffer.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Risks and uncertainties related to regulations, including but not limited to,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regarding the interpretation and enforcement of laws, rules and regulations in the jurisdictions in which we operate. In addition, such laws, rules and regulations are continually evolving.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promulgate new laws and regulations that could impact our operations from time to time. Changes and developments in the PRC legal system and the interpretation and enforcement of PRC laws, rules and regulations may subject us to uncertainties. In addition, the PRC government has recently promulgated laws and regulations on securities offerings conducted overseas and foreign investment in China-based issuers, which could result in a material change in our operations and the value of our securities.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filing or other administrative requirements of the CSRC or other PRC government authorities may be required in connection with our future offerings under PRC law. Furthermore, the PRC government has recently promulgated laws and regulations on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report for the fiscal year ended December 31, 2023, which is included in this annual report, is prepared by our former auditor which the PCAOB was unable to inspect and investigate completely before 2022 and, as such, our investors had been deprived of the benefits of such inspections in the past.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will be prohibited from trading in the United States under the HFCAA if the PCAOB is unable to inspect and investigate completely our auditor. The prohibition from trading the ADSs, or the threat of their being prohibited from trading, may cause the value of the ADSs to significantly decline or be worthless.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also subject to risks and uncertainties related to our international operations including, but not limited to, the following:</w:t>
      </w:r>
    </w:p>
    <w:p>
      <w:pPr>
        <w:spacing w:after="0" w:line="117"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our international operations and supply chain, including unfavorable regulatory, political, tax, labor, pandemic and market conditions and other risks, which could adversely affect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trade policy, tariffs, and import/export regulations may adversely affect our business, results of operations, financial condition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risks described above, we are subject to risks related to the ADSs,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has been and may continue to be volatile, which could result in substantial losses to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as a result of being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as well as the concentration of our share ownership among executive officers, directors and principal shareholders, may limit your ability to influence corporate matters and could discourage others from pursuing any change of control transactions that holders of our Class A ordinary shares and the ADSs may view as beneficial.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expected growth. If we fail to manage growth effectively, our business, results of operations, financial condition and prospects could be adversely affected.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continued growth in the past. For example, our revenue increased from US$38.5 million in 2023 to US$42.2 million in 2024. Although our revenue decreased to US$25.1 million in 2025, the growth in our business has placed, and is expected to continue to place, a significant strain on our managerial, administrative, operational, and financial resources, as well as our infrastructure. We plan to continue to expand our operations in the future. Our success will depend in part on our ability to manage this growth effectively and execute our business plan. To manage the expected growth of our operations and personnel, we will need to continue to improve our operational, financial, and management controls, as well as our reporting systems and procedures.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manage our growth effectively, we shall continue to improve and expand our operational, financial, and administrative systems and procedures. We shall also continue to manage our employees, operations, finances, research and development, and capital investments efficiently. Our productivity and the quality of our products and services may be adversely affected if we do not integrate and train our new employees quickly and effectively or if we fail to appropriately coordinate across our executive, research and development, sales and marketing, and other general and administrative teams. As we continue to grow, we will incur additional expenses, and our growth may continue to place a strain on our resources, infrastructure, and ability to maintain the quality of our products and services. If we do not adapt to meet these evolving challenges, or if the current and future members of our management team do not effectively manage our growth, the quality of our products and services may suffer and our corporate culture may be harmed. Failure to manage our future growth effectively could have an adverse impact on our business, results of operations, financial condition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and success are highly correlated with and thus dependent upon the continuing rapid adoption of and demand for EVs.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growth is highly dependent upon the adoption of EVs both by businesses and consumers. The market for EVs is still rapidly evolving, characterized by rapidly changing technologies, increasing consumer choice as it relates to available EV models, their pricing and performance, evolving government regulation and industry standards, changing consumer preferences and behaviors, intensifying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levels of concern related to environmental issues, and governmental initiatives related to climate change and the environment generally. Our revenues are driven in large part by EV users’ driving and charging behavior. Although demand for EVs has grown in recent years, there is no guarantee of continuing future demand. Direct current (“DC”) fast charging in particular may not develop as expected and may fail to attract projected market share of the EV charger market. If the market for EVs develops more slowly than expected, or if demand for EVs decreases, our growth would be reduced and our business, results of operations, financial condition and prospects would be harmed. The market for EVs could be affected by numerous factors, such as:</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EV features, quality, driver experience, safety, performance and cost;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limited range over which EVs may be driven on a single battery charge and about availability and access to sufficient EV chargers;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other types of alternative fuel vehicles (such as hydrogen fuel cell vehicles), plug-in hybrid EVs and high fuel-economy internal combustion engine (“ICE”) vehicles;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efficiency in legacy ICE and hybrid vehicles;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gasoline and diesel at the pump;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 supply chain disruptions, including but not limited to availability of certain components (e.g., semiconductors), ability of EV manufacturers to ramp-up EV production, availability of batteries, and battery materials;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stability of the electrical grid;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of an EV battery’s ability to hold a charge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service for EVs;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perception about the convenience, speed, and cost of EV charging;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including adverse changes in, or expiration of, favorable tax incentives related to EVs, EV chargers or decarbonization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relaxation of government mandates or quotas regarding the sale of EVs;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price and variety of EV models available for purchase;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the future viability of EV manufacturers.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sales of vehicles in the automotive industry can be cyclical, which may affect growth in acceptance of EVs. It is uncertain how macroeconomic factors will impact demand for EVs, particularly since they can be more expensive than traditional gasoline-powered vehicles, when the automotive industry globally has been experiencing a recent decline in sales.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many global original equipment manufacturers (“OEMs”) and several new market entrants have announced plans for new EV models, the lineup of EV models with increasing fast charging needs expected to come to market over the next several years may not materialize in that time frame or may fail to attract sufficient customer demand. Demand for EVs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EV charging solutions and therefore adversely affect our business, results of operations, financial condition and prospects.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predict our future prospects and the risks and challenges we may encounter in the rapidly evolving EV charger market.</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our limited operating history in the rapidly evolving EV charger market, we cannot assure you that we can accurately predict our future prospects. If products in our product roadmap, such as the new NZS and GridLink chargers, do not achieve projected sales in the future, our growth prospects may be negatively affected.</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Estimates of future EV adoption in the world, the total addressable market, serviceable addressable market for our products and services, and the EV charger market in general are included in this annual report. Market opportunity estimates and growth forecasts, whether obtained from third-party sources or developed internally, are subject to significant uncertainty and are based on assumptions and estimates that may prove to be inaccurate. The estimates and forecasts relating to the size and expected growth of the target market, market demand, EV adoption across individual market verticals and use cases, capacity of automotive and battery OEMs and ability of charging infrastructure to address this demand and related pricing may also prove to be inaccurate. In particular, estimates regarding the current and projected market opportunity for EV charger and future fast charging throughput or our market share capture are difficult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predict. The estimated addressable market may not materialize in the timeframe that we expect, if ever, and even if the markets meet our size and growth estimates, our business could fail to grow at similar rates.</w:t>
      </w:r>
    </w:p>
    <w:p>
      <w:pPr>
        <w:spacing w:after="0" w:line="2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EV charger market is characterized by rapid technological change, which requires us to continue to develop new products and product innovations. Any delays in such development could adversely affect market adoption of our products and thus adversely affect our business, results of operations, financial condition and prospects.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Continuing technological changes in battery and other EV technologies could adversely affect adoption of current EV charging technology, continuing and increasing reliance on EV charging infrastructure and the use of our products and services. Our future success will depend in part upon our ability to develop and introduce a variety of new capabilities and innovations to our existing charging and energy storage solutions, as well as introduce a variety of new products and services to address the changing needs of the EV charger market.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EV technologies change, we may need to upgrade or adapt our charging technologies and introduce new products and services in order to serve vehicles that have the latest technology (particularly battery technology), which could involve substantial costs. Even if we are able to keep pace with changes in technology and develop new products and services, our research and development expenses could increase, our margins could be adversely affected in some periods and our existing products could become obsolete more quickly than expected.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guarantee that any new products or services we develop will be released in a timely manner, or at all, or achieve market acceptance. Delays in delivering new products or services that meet customer requirements could damage our relationships with customers and lead them to seek alternative products or services. Delays in introducing products and innovations or the failure to offer innovative products or services at competitive prices may cause existing and potential customers to use our competitors’ products or services.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devote adequate resources to develop products or cannot otherwise successfully develop products or services that meet customer requirements on a timely basis or that remain competitive with technological alternatives, our products and services could lose market share, our revenue could decline, we may experience higher operating losses and our business, results of operations, financial condition and prospects could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future monetization strategies will be successfully implemented or generate sustainable revenues and profit.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developed a diversified revenue model and plan to explore additional opportunities to monetize our customer base and technology by, for example, promoting a new monetization model for our NZS chargers. If these efforts fail to achieve our anticipated results, we may not be able to increase or maintain our revenue growth. Specifically, in order to increase the number of our customers and their levels of spending, we will need to address a number of challenges, including providing consistent quality products and services; continuing to innovate and stay ahead of our competitors; and improving the effectiveness and efficiency of our sales and marketing efforts. If we fail to address any of these challenges, we may not be successful in increasing the number of our customers and their expenditures with us, which could have a material adverse impact on our business, results of operations, financial condition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competition from a number of companies and expect to face significant competition in the future as the EV charger market develops.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EV charger industry is relatively new, and the competitive landscape is still developing. Successfully penetrating large emerging EV markets, such as Europe and the United States, will require early engagement with customers to gain market share, and ongoing efforts to scale channels, teams and processes. Our potential entrance into additional markets may require establishing ourselves against existing competitors. In addition, there are multiple competitors in Europe and the United States that could begin selling and commissioning chargers of lower quality which, in turn, may cause poor driver experiences, hampering overall EV adoption or trust in EV charger manufacturers.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we are differentiated from current publicly listed EV charger competitors in that we offer charging and energy storage solutions. However, there are other means for charging EVs and the continued or future adoption of such other means could affect the demand for our products and services.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our current or potential competitors may be acquired by third parties with greater available resources. As a result, competitors may be able to respond more quickly and effectively than us to new or changing opportunities, technologies, standards or customer requirements and may have the ability to initiate or withstand substantial price competition. In addition, competitors may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New competitors or alliances may emerge in the future that have greater market share, more widely adopted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of higher quality than those of our competitors, current or potential customers may accept competitive solutions. If we fail to adapt to EV charger market conditions or continue to compete successfully with current charging providers or new competitors, our growth will be limited which would adversely affect our business, results of operations, financial condition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growth will depend in significant part on our ability to increase sales of our products to our customers.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revenue growth will depend in significant part on our ability to increase sales of our products to our customers. As we compete with a large and growing number of EV charger solution providers, we have invested in branding, sales and marketing to acquire and retain customers and increase their spending in our products. If we are unable to increase sales of our products, our revenue and profitability could be adversely affected.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incurred selling and marketing expenses of US$6.4 million, US$10.3 million and US$10.7 million in 2023, 2024 and 2025, respectively. We expect to continue to invest to acquire new customers and increase sales to existing ones, but there is no assurance that we can attract new customers or that our existing customers will stay with us. Any failure to attract and retain customers in the future would adversely affect our business, results of operations, financial condition and prospects.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and OEMs of certain key components for our products, such as batteries. A loss of any of these partners, including as a result of a global supply shortage or major shipping disruption, could negatively affect our business, results of operations, financial condition and prospects.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and OEMs to manufacture components for our products, and we may be unable to source reliable alternative or replacement suppliers and OEMs for certain components. In some cases, replacing the suppliers or OEMs would require re-certification of the chargers by relevant regulatory authorities. A catastrophic disruption affecting one or more of our OEMs due to pandemics or epidemics, accidents, fire, explosion, labor issues, extreme weather events, natural disasters, condemnation, cyberattacks, cancellation or non-renewals of leases, terrorist attacks or other acts of violence or war or otherwise could have a material adverse effect on their production capabilities. In addition, unexpected failures, including as a result of power outages or similar disruptions outside of our control, could result in production delays or the loss of components or products in the equipment or machinery at the time of such failures. In the event of a supply shortage or major shipping disruption, we may not be able to increase capacity from other sources, or develop alternate or secondary sources, without incurring material additional costs and substantial delays. Thus, our business could be adversely affected if one or more of our suppliers is impacted by any supply shortages, price increases, or manufacturing, shipping or regulatory disruptions. For more information, see “Item 3. Key Information—3.D. Risk Factors—Risks Related to Our International Operations—We face risks associated with our international operations and supply chain, including unfavorable regulatory, political, tax, labor, pandemic and market conditions and other risks, which could adversely affect our business, results of operations, financial condition and prospects.”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experience a significant increase in demand for our products, or if we need to replace an existing supplier or OEM, it may not be possible to supplement or replace them on acceptable terms or at all, which may undermine our ability to deliver products to customers in a timely manner. For example, it may take a significant amount of time to identify an OEM that has the capability and resources to produce batteries in sufficient volume. Identifying suitable suppliers and OEMs could be an extensive process that requires us to become satisfied with their component or sub-assembly specifications, quality control, technical capabilities, responsiveness and service, financial stability, regulatory compliance, and labor and other ethical or environmental, social and governance practices. Accordingly, a loss of any significant suppliers or OEMs could have an adverse effect on our business, results of operations, financial condition and prospects.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significant customers for a substantial portion of our revenues. The loss of any such customer, or a reduction in revenue generated from any such customer could have a material adverse effect on our business, results of operations, financial condition and prospects if they are not replaced by another large sales order.</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and may continue to be, dependent on a limited number of significant customers for a substantial portion of our revenue. For example, in 2023, 2024 and 2025, revenue generated from our largest customer accounted for 42%, 23% and 11% of our total revenues for the same periods, respectively. We cannot be certain that customers that have accounted for significant revenues in past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periods, individually or as a group, will continue to generate similar revenues in any future period. We may lose one or more of our significant customers due to various factors, including but not limited to increased competition, material changes in such customers’ operations, breach of contract or policy, or any deterioration in our relationship with such customers. The loss or reduction in revenues generated from significant customers, any reduction, delay or cancellation of orders from one or more of our significant customers, or a decision by one or more of our significant customers to select products or services provided by a competitor, would significantly and adversely impact our business, results of operations, financial condition and prospects. Additionally, the failure of our significant customers to pay their current or future outstanding balances would increase our operating expenses and reduce our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foreign currency fluctuations.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routinely transact business in currencies other than the U.S. dollar. Additionally, we maintain a portion of our cash and investments in currencies other than the U.S. dollar and may, from time to time, experience losses resulting from fluctuations in the values of these foreign currencies, which could cause our reported net earnings to decrease, or could result in a negative impact to shareholders’ deficit. In addition, failure to manage foreign currency exposures could cause our results of operations to be more volatile. Adverse, unforeseen or rapidly shifting currency valuations in our key markets may magnify these risks over time.</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and marketing capabilities could harm our ability to increase our customer base and achieve broader market acceptance of our solutions.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grow our customer base, achieve broader market acceptance, grow revenue, and achieve and sustain profitability will depend, to a significant extent, on our ability to effectively expand our sales and marketing operations and activities. We rely on our sales and marketing teams to obtain new customers and grow our business. We plan to continue to expand in these functional areas but we may not be able to recruit and hire a sufficient number of competent personnel with the requisite skills, technical expertise and experience, which may adversely affect our ability to expand our sales capabilities. The hiring process can be costly and time consuming, and new employees may require significant training and time before they achieve full productivity. Recent hires and planned hires may not become as productive as quickly as anticipated, and we may be unable to hire or retain sufficient numbers of qualified individuals. Our ability to achieve significant revenue growth in the future will depend, in large part, on our success in recruiting, training, incentivizing and retaining a sufficient number of qualified personnel attaining desired productivity levels within a reasonable time. Our business will be harmed if investment in personnel related to sales and marketing activities does not generate a significant increase in revenue.</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products and services, or fail to maintain high availability of our products or services and strong user experience, our business and reputation will suffer.</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offer a portfolio of customizable and environment-friendly products and comprehensive services catering to different and evolving needs in the EV era. Rapid and high-quality customer service is important so customers can receive reliable charging for their EVs. The importance of high-quality products and services will increase as we seek to expand our business and pursue new customers and geographies. If we do not quickly resolve issues and provide high-quality products and services, our ability to retain customers or sell additional products and services to existing customers could suffer and our brand and reputation could be harmed.</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safety issue occurs with our products, or similar products from another manufacturer, there could be adverse publicity around our products or the safety of EV chargers generally, which could adversely affect our business, results of operations, financial condition and prospects.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Manufacturers of EV chargers, including us, may be subject to claims that their products have malfunctioned and, as a result, persons were injured and/or property was damaged. For example, under certain circumstances, including improper charging, lithium-ion batteries have been observed to catch fire or vent smoke and flames. In addition, our customers could be subjected to claims as a result of such incidents and may bring legal claims against us to attempt to hold us liable. Any of these events could result in negative publicity and reputational harm, which could adversely affect our business, results of operations, financial condition and prospects.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Computer malware, viruses, ransomware, hacking, phishing attacks and other network disruptions could result in security and privacy breaches, loss of proprietary information and interruption in service, which could adversely affect our business, results of operations, financial condition and prospects.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Computer malware, viruses, physical or electronic break-ins and similar disruptions could lead to interruption and delays in our services and operations and loss, misuse or theft of data. Computer malware, viruses, ransomware, hacking, phishing attacks or denial of service against online networks have become more prevalent and may occur on our systems. Any attempts by cyberattackers to disrupt our services or systems, if successful, could harm our business, introduce liability to data subjects, result in the misappropriation of funds, be expensive to remedy and damage our reputation or brand. Insurance may not be sufficient to cover significant expenses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losses related to cyberattacks. Even with the security measures implemented by us, such as managed security services that are designed to detect and protect against cyberattacks, and any additional measures we may implement or adopt in the future, our facilities and systems, and those of our third-party service providers, could be vulnerable to security breaches, computer viruses, lost or misplaced data, programming errors, scams, burglary, human errors, acts of vandalism, or other events. Efforts to prevent cyberattackers from entering computer systems are expensive to implement, and we may not be able to cause the implementation or enforcement of such preventative actions with respect to our third-party vendors. Though it is difficult to determine what, if any, harm may directly result from any specific interruption or attack, any failure to maintain performance, reliability, security and availability of systems and technical infrastructure may, in addition to other losses, harm our reputation, brand and ability to attract customers.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previously experienced, and may in the future experience, service disruptions, outages and other performance problems due to a variety of factors, including infrastructure changes, third-party service providers, human or software errors and capacity constraints. There are several factors ranging from human error to data corruption that could materially impact the efficacy of any processes and procedures designed to enable us to recover from a disaster or catastrophe, including by lengthening the time services are partially or fully unavailable to customers and users. It may be difficult or impossible to perform some or all recovery steps and continue normal business operations due to the nature of a particular cyberattack, disaster or catastrophe or other disruption, especially during peak periods, which could cause additional reputational damages, or loss of revenues, any of which would adversely affect our business and financial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pandemics and epidemics, which could have a material adverse effect on our business, results of operations, financial condition and prospects.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Health pandemics or epidemics may have a material adverse effect on our business, results of operations, financial condition and prospects. For example, during the outbreak of COVID-19, the manufacturing, delivery and overall supply chain of vehicle manufacturers and suppliers was disrupted and a decrease in vehicle sales, including EV sales, occurred in markets around the world, which resulted in the decrease in the accompanying demand for our chargers. Because demand for our charging solutions is closely tied to EV adoption and usage, any adverse impact on EVs may in turn harm our business, results of operations, financial condition and prospects.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in the event of a re-occurrence or outbreak of a health pandemic or epidemic, if we cannot effectively mitigate the risks posed by such health pandemic or epidemic, our operations will be adversely impacted. Health pandemics or epidemics could limit the ability of customers, suppliers, and utilities to perform, including by limiting the ability of third-party suppliers and OEMs to provide components used in chargers, which may have an adverse impact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funds, and these funds may not be available when needed or may be available only on unfavorable terms.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capital in the future to further scale our business and expand to additional markets. We may raise additional funds through the issuance of equity, equity-related or debt securities, through obtaining credit from government or financial institutions or through grant funding. We cannot be certain that additional funds or incentives will be available on favorable terms when required, or at all, or that we will be able to obtain additional funds under various existing and new state and local programs in the future. If we cannot raise additional funds when needed, our business, results of operations, financial condition and prospects could be materially and adversely affected. If we raise funds through the issuance of debt securities or through loan arrangements, the terms of which could require significant interest payments, contain covenants that restrict our business, or other unfavorable terms. In addition, to the extent we raise funds through the sale of additional equity securities, our shareholders would experience additional dilution.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and any claims beyond our insurance coverage may result in our incurring substantial costs and a diversion of resources.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insurance policies to safeguard against risks and unexpected events, such as social security insurance for our employees as required by PRC law. Our insurance coverage may be insufficient to cover any claim for product liability, damage to our fixed assets or employee injuries. Any liability or damage to, or caused by, our facilities or our personnel beyond our insurance coverage may result in our incurring substantial costs and a diversion of resources.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potential labor disputes and work stoppages or an inability to hire skilled manufacturing, sales and other personnel could adversely affect our business, results of operations, financial condition and prospects.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performance is affected by the availability of qualified personnel and the cost of labor. An increase in labor costs, work stoppages or disruptions at our facilities or those of our suppliers, OEMs or transportation service providers, or other labor disruptions, could decrease our sales and increase our expenses. Although our employees are not represented by a union, our labor force may become subject to labor union organizing efforts, which could cause us to incur additional labor costs. The competition for skilled research and development, manufacturing, sales and other personnel is intense in the regions in which we operate. A significant increase in the salaries and wages paid by competing employers could result in a reduction of our labor force, increases in the salaries and wages that we must pay, or both. Additionally, potential employees may seek remote work options that are unavailable for certain positions.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unable to hire and retain skilled research and development, manufacturing, sales and other personnel, our ability to execute our business plan, and our business, results of operations, financial condition and prospects, would suffer.</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employees and hire qualified management, technical, engineering and sales personnel, our ability to compete and successfully grow our business would be harmed.</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continuing ability to identify, hire, attract, train and develop and retain highly qualified management, technical, engineering and sales personnel. The inability to do so effectively would adversely affect our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Competition for key employees can be intense, and the ability to attract, hire and retain such key employees depends on our ability to provide competitive compensation, culture and benefits. We may not be able to attract, assimilate, develop or retain qualified management, technical, engineering and sales personnel in the future, and failure to do so could adversely affect our business, results of operations, financial condition and prospects, including the execution of our global business strategy.</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fuel economy standards or the success of alternative fuels may adversely impact the EV charger market and thus the demand for our products and services.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regulatory initiatives have required an increase in the mileage capabilities of cars and consumption of renewable transportation fuels, such as ethanol and biodiesel, consumer acceptance of EVs and other alternative vehicles has been increasing. However, the EV fueling model is different from gasoline and other fuel models, requiring behavior changes and education of businesses, consumers, regulatory bodies, local utilities, and other stakeholders. Further developments in, and improvements in affordability of, alternative technologies, such as renewable diesel, biodiesel, ethanol, hydrogen fuel cells or compressed natural gas, proliferation of hybrid powertrains involving such alternative fuels, or improvements in the fuel economy of the internal combustion engine vehicles, whether as the result of regulation or otherwise, may materially and adversely affect demand for EVs and EV chargers in some market verticals. Regulatory bodies may also adopt rules that substantially favor certain alternatives to petroleum-based propulsion over others, which may not necessarily be EVs. Local jurisdictions may also impose restrictions on urban driving due to congestion, which may prioritize and accelerate micromobility trends and slow EV adoption growth. If any of the above cause or contribute to automakers reducing the availability of EV models or cause or contribute to consumers or businesses to no longer purchase EVs or purchase fewer of them, it would harm the demand for our products and services, thus materially and adversely affect our business, results of operations, financial condition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large part on our ability to protect and enforce our intellectual property rights.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as well as confidentiality procedures and contractual restrictions, to establish and protect our proprietary rights, all of which provide only limited protection. We cannot assure you that any patents will issue with respect to our currently pending patent applications, in a manner that gives us the protection that we seek, if at all, or that any future patents issued to us will not be challenged, invalidated or circumvented. Our currently issued patents and any patents that may issue in the future with respect to pending or future patent applications may not provide sufficiently broad protection or they may not prove to be enforceable in actions against alleged infringers. Also, we cannot assure you that any future trademark registrations will be issued with respect to pending or future applications or that any registered trademarks will be enforceable or provide adequate protection of our proprietary rights.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endeavor to enter into agreements with our employees and agreements with parties with whom we do business in order to limit access to and disclosure of our proprietary information. We cannot be certain that the steps we have taken will prevent unauthorized use of our technology or the reverse engineering of our technology. Moreover, others may independently develop technologies that are competitive to ours or infringe our intellectual property. The enforcement of our intellectual property rights also depends on our legal actions against these infringers being successful, but we cannot be sure these actions will be successful, even when our rights have been infringed.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Furthermore, effective patent, copyright, trademark, and trade secret protection may not be available in every country. In addition, the legal scope of protection of intellectual property rights in EV-related industries is uncertain and still evolving.</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against intellectual property infringement or misappropriation claims or challenge the patents of our competitors, which may be time consuming and expensive.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successfully combat other legal demands by competitors or other third parties. Accordingly, we may consider entering into licensing agreements with respect to such rights, although no assurance can be given that such licenses can be obtained on acceptable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terms or that litigation or arbitration will not occur, and such licenses and associated disputes could significantly increase our operating expenses. In addition, if we 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Further, we may be forced to challenge the patents of our competitors, either in conjunction with defending an infringement claim or separately, in order to protect our rights to sell our current and future products. If we were required to take one or more such actions, our business, results of operations, financial condition and prospects could be materially and adversely affected. In addition, any litigation or other disputes, whether or not valid, could result in substantial costs, negative publicity and diversion of resources and management’s attention.</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research and development costs and devote significant resources to our research and development efforts, which could significantly reduce our profitability.</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customer requirements, and introducing new products that achieve market acceptance. In 2023, 2024 and 2025, we incurred research and development expenses of US$4.1 million, US$12.2 million and US$7.1 million, respectively. We plan to incur significant research and development costs in the future as part of our efforts to design, develop, manufacture and introduce new products and enhance existing products. Further, our research and development program may not produce successful results, and products in our product roadmap may not achieve market acceptance, create additional revenue or become profitable.</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could have undetected defects, errors or bugs in hardware or software which could reduce market adoption, damage our reputation with current or prospective customers, and/or expose us to product liability and other claims that could materially and adversely affect our business.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claims that chargers have malfunctioned and persons were injured or purported to be injured due to latent defects. Any insurance that we carry may not be sufficient or it may not apply to all situations. Similarly, to the extent that such malfunctions are related to components obtained from third-party suppliers or OEMs, such suppliers or OEMs may not assume responsibility for such malfunctions. Any of these events could adversely affect our brand reputation, and thus adversely affect our business, results of operations, financial condition and prospects.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software system may contain latent defects or errors. In addition, if our products and services, including any upgrades or updates, are not implemented or used correctly or as intended, inadequate performance and disruptions in service may result. Any defects or errors in product or service offerings, or the perception of such defects or errors, or other performance problems could result in any of the following, each of which could adversely affect our business, results of operations, financial condition and prospects:</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including recalls, in efforts to analyze, correct, eliminate or work around errors or defects;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customers or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replacements and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release of new functionality or improvements;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of confidential or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customer service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warranty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under applicable laws, rules and regulations;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of litigation.</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face the risk that any contractual protections we seek to include in our agreements with customers are rejected, not implemented uniformly or may not fully or effectively protect from claims by customers, business partners or other third parties. In addition, any insurance coverage or indemnification obligations of suppliers for our benefit may not adequately cover all such claims, or cover only a portion of such claims. A successful product liability, warranty, or other similar claim could have an adverse effect on our business, results of operations, financial condition and prospects. In addition, even claims that ultimately are unsuccessful could result in expenditure of funds in litigation, divert management’s time and other resources and cause reputational harm.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data protection laws and regulations may adversely affect our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National and local governments and agencies in the countries in which we operate and in which our customers operate have adopted, are considering adopting, or may adopt laws and regulations regarding the collection, use, storage, disclosure, and other processing of information regarding customers and other individuals, which could impact our ability to offer services in certain jurisdictions. Laws and regulations relating to the collection, use, disclosure, security, and other processing of individuals’ information can vary significantly from jurisdiction to jurisdiction and are particularly stringent in Europe. The costs of compliance with, and other burdens imposed by, laws, regulations, standards, and other obligations relating to privacy, data protection, and information security are significant. In addition, some companies, particularly larger enterprises, often will not contract with suppliers that do not meet these rigorous standards. Accordingly, the failure, or perceived inability, to comply with these laws, regulations, standards, and other obligations may limit the use and adoption of our solutions, reduce overall demand, lead to regulatory investigations, litigation, and significant fines, penalties, or liabilities for actual or alleged noncompliance, or slow the pace at which we close sales transactions, any of which could harm our business. Moreover, if we or any of our employees fail or are believed to fail to adhere to appropriate practices regarding customers’ data, our reputation and brand may be damaged.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existing laws, regulations, standards, and other obligations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us and our customers. The European Union and United States agreed to several framework agreements for data transferred from the European Union to the United States, but these framework agreements have been challenged and declared invalid by the Court of Justice of the European Union each time. Currently, there is no valid framework agreement for data transfers from the European Union to the United States, and vice versa, thereby creating additional legal risks for us. Additionally, the European Union adopted the GDPR in 2016, and it became effective in May 2018. The GDPR establishes requirements applicable to the handling of personal data and imposes penalties for noncompliance of up to the greater of €20 million or 4% of worldwide revenue. The costs of compliance with, and other burdens imposed by, the GDPR may limit the use and adoption of our products and services and could have an adverse impact on our business.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and regulations relating to privacy, data protection, and information security that are applicable to the businesses of customers may adversely affect our ability and willingness to handle, store, use, transmit and otherwise process certain types of information, such as demographic and other personal information. In addition to government activity, privacy advocacy groups, the technology industry, and other industries have established or may establish various new, additional, or different self-regulatory standards that may place additional burdens on technology companies. Customers may expect that we will meet voluntary certifications or adhere to other standards established by them or third parties. If we are unable to maintain these certifications or meet these standards, it could reduce demand for our solutions and adversely affect our business.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are likely to fluctuate in future periods, which could cause our results for a particular period to fall below expectations, resulting in a decline in the price of the ADSs.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financial condition and results of operations have fluctuated in the past and may continue to fluctuate in the future due to a variety of factors, many of which are beyond our control.</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the following factors could also cause our financial condition and results of operations to fluctuate on a quarterly basis:</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new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charger rollouts;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than anticipated demand for our products and services, whether due to changes in government incentives and policies or due to other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sales and marketing, business development or research and development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interruptions and manufacturing or delivery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availability of new products and services relative to customers’ and investors’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on our workforce, or those of our customers, suppliers, or business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sales, production, service or other business activities or our inability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local or foreign government incentive programs, which can affect demand for EVs;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driving patterns.</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Fluctuations in operating results and cash flow could, among other things, give rise to short-term liquidity issues. In addition, revenue, and other operating results may fall short of the expectations of investors and financial analysts, which could have an adverse effect on the price of the ADSs.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tax liabilities could adversely affect our after-tax profitability and financial results.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currently subject to income taxes in Europe, the United States and China. With the expansion of our business, we may in the future become subject to income taxes in other foreign jurisdictions. Our effective income tax rate could be adversely affected by a number of factors, including changes in deferred tax assets and liabilities, changes in tax laws, changes in accounting and tax standards or practices, changes in the composition of operating income by tax jurisdiction and changes in our operating results before taxes. We plan to regularly assess these matters to determine the adequacy of our tax liabilities. If any of our assessments are ultimately determined to be incorrect, our business, results of operations, financial condition and prospects could be materially adversely affected.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complexity of multinational tax obligations and filings, we may have a heightened risk related to audits or examinations by taxing authorities in the jurisdictions in which we operate. Outcomes from these audits or examinations could have a material adverse effect on our business, results of operations, financial condition and prospects. We may also be adversely affected by changes in the relevant tax laws and tax rates, treaties, regulations, administrative practices and principles, judicial decisions, and interpretations thereof, in each case, possibly with retroactive effect.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over financial reporting, we may be unable to accurately or timely report our results of operations or prevent fraud, and investor confidence and the trading price of our ADSs may be materially and adversely affected.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year ended December 31, 2025 included elsewhere in this annual report, we and our independent registered public accounting firm identified a material weakness in our internal control over financial reporting.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5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material weakness identified relates to our lack of sufficient competent financial reporting and accounting personnel with appropriate understanding of U.S. GAAP and financial reporting requirements set forth by the SEC to formalize, design, implement and operate key controls over financial reporting process in order to prepare, review and report financial information, and to address complex U.S. GAAP accounting issues and related disclosures, in accordance with U.S. GAAP and SEC financial reporting requirements. For details, see “Item 15. Controls and Procedures—Internal Control over Financial Reporting.” Our management, including our chief executive officer and chief financial officer, conducted an evaluation of the effectiveness of our internal control over financial reporting based on the framework in Internal Control–Integrated Framework (2013 Framework) issued by the Committee of Sponsoring Organizations of the Treadway Commission.</w:t>
      </w:r>
    </w:p>
    <w:p>
      <w:pPr>
        <w:spacing w:after="0" w:line="14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deficiencies. See “Item 15. Controls and Procedures—Internal Control over Financial Reporting.” However, the implementation of these measures may not fully address such weaknesses and deficiencies in our internal control over financial reporting.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4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pursuant to the requirements of Section 404 of the Sarbanes-Oxley Act of 2002, to furnish a report from management on, among other things, the effectiveness of our internal control over financial reporting.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our reporting obligations as a public company may place a significant strain on our management, operational and financial resources and systems for the foreseeable future. We may be unable to timely complete our evaluation testing and any required remediation.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EV charger market currently benefits from the availability of rebates, tax credits and other financial incentives from governments, utilities and others to offset our operating cost. The reduction, modification or elimination of such benefits could adversely affect our financial results.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governments in the jurisdictions in which we operate provide incentives to end users and purchasers of EV chargers in the form of rebates, tax credits, and other financial incentives, such as payments for regulatory credits. The EV charger market relies on these governmental rebates, tax credits, and other financial incentives to significantly lower the effective price of EV chargers. However, these incentives may expire on a particular date, end when the allocated funding is exhausted, or be reduced or terminated as a matter of regulatory or legislative policy. If we are not eligible for grants or other incentives under such programs, while our competitors are, it may adversely affect our competitiveness or results of operation.</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grant share-based awards in the future, which may result in increased share-based compensation expenses and have an adverse effect on our future profitability.</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adopted a series of share incentive plans, including the 2023 Share Incentive Plan, the 2023 Share Incentive Plan II and the 2025 Share Incentive Plan (collectively, the “Prior Plans”) and the 2026 Share Incentive Plan (the “2026 Plan”), for the purpose of granting share-based compensation awards to our key employees, directors, and other eligible persons.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Effective as of March 9, 2026, we terminated the Prior Plans and ceased making awards thereunder. All awards previously granted under the Prior Plans remain outstanding and continue to be governed by their respective terms and applicable award agreements. As of that date, (i) 150,000,000 shares were authorized under the 2023 Share Incentive Plan, all of which had been granted and vested, (ii) 445,198,950 shares were authorized under the 2023 Share Incentive Plan II, of which 347,515,344 had been granted, 304,386,024 shares had vested, 6,454,200 shares had forfeited and 36,675,120 remained outstanding, and (iii) 445,198,950 shares were authorized under the 2025 Share Incentive Plan, of which 445,198,950 had been granted and vested.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9, 2026, we adopted the 2026 Plan, pursuant to which the maximum aggregate number of ordinary shares we are authorized to issue is 1,492,028,626, and 1,600,000 of such share awards have been granted as of March 31, 2026. See “Item 6. Directors, Senior Management and Employees— 6. B. Compensation—Share Incentive Plans.” In addition, we may adopt additional share incentive plans in the future.</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the granting of share-based compensation awards is important to our ability to attract and retain key personnel and employees, and we may grant share-based compensation awards in the future. As a result, we may incur expenses associated with share-based compensation, which may have a material and adverse effect on our financial condition and results of operations. Our ability to attract or retain highly skilled employees may be adversely affected by declines in the perceived value of our equity or equity awards. Furthermore, there are no assurances that the number of shares reserved for issuance under our share incentive plan will be sufficient to grant equity awards adequate to recruit new employees and to compensate existing employees. In case we decide to reserve and issue additional shares under our share incentive plan, your interests in our company will be further diluted by such issuance.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certain liquidity risks. We have recorded negative cash flows from operating activities historically and may experience liquidity problems in the future.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recorded negative cash flows from operating activities historically. In 2023, 2024 and 2025, we recorded negative cash flow of US$5.6 million, negative cash flow of US$7.2 million and negative cash flow of US$7.5 million, respectively, from operating activities. As of December 31, 2025, we had US$11.4 million in cash and cash equivalents. We cannot assure you that we will not experience cash outflows in the future, which may adversely affect our business, financial condition, results of operations and prospects.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not experience working capital deficiencies or accumulated deficits in the future, which could expose us to liquidity risks. If we fail to maintain sufficient cash and financing, we may not have sufficient cash flows to fund our business, operations and capital expenditure, and our business, financial condition, results of operations and prospects will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enforcement of laws, rules and regulations in the jurisdictions in which we operate. In addition, such laws, rules and regulations are continually evolving.</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differing and sometimes conflicting laws and regulations in the various jurisdictions in which we operate, and because the laws, rules and regulations often give the relevant regulator discretion in how to enforce them, the interpretation and enforcement of these laws, rules and regulations also involve uncertainties. In addition, new laws and regulations may be adopted from time to time to address new issues that come to the authorities’ attention. For example, as the EV charger industry is relatively new, laws and regulations in this industry are still evolving. Any failure or perceived inability to comply with current or future laws, regulations, standards, and other obligations, to the extent applicable to us, may lead to regulatory investigations, litigation, and significant fines, penalties, or liabilities for actual or alleged noncompliance.</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promulgate new laws and regulations that could impact our operations from time to time. Changes and developments in the PRC legal system and the interpretation and enforcement of PRC laws, rules and regulations may subject us to uncertainties. In addition, the PRC government has recently promulgated laws and regulations on securities offerings conducted overseas and foreign investment in China-based issuers, which could result in a material change in our operations and the value of our securities.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PRC government has oversight and discretion over the conduct of our business and may intervene with or influence our operations at any time by adopting new laws and regulations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results of operations and prospects.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PRC operating subsidiaries are incorporated under and governed by the laws of the PRC. Our operations in the PRC are governed by PRC laws and regulations. However, since the PRC legal system continues to evolve rapidly and the PRC governmental authorities may continue to promulgate new laws and regulations regulating our business, we cannot assure you that our business operations would not be deemed to violate any existing or future PRC laws or regulations, which in turn may limit or restrict us, and could materially and adversely affect our business and operations. For example, recently the PRC government initiated a series of regulatory actions and statements to regulate business operations in China, including cracking down on illegal activities in the securities market, strengthening supervision on overseas listings by China-based companies, adopting new measures to extend the scope of cybersecurity reviews and data security protection, and expanding the efforts in anti-monopoly enforcement.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discretion in interpreting and implementing statutory and contractual terms, it may be difficult to predict the outcome of a judicial or administrative proceeding. Furthermore, the PRC legal system is based, in part, on government policies and other forms of guidance. As a result, we may not always be aware of any potential violation of these policies and rules. These uncertainties may adversely affect our contractual, property and procedural rights, which could adversely affect our business, financial condition, results of operations and prospects.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the PRC government has also recently promulgated laws and regulations on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if China adopts more stringent standards with respect to environmental protection or corporate social responsibilities, we may incur increased compliance costs or become subject to additional restrictions in our operations. In addition, we cannot predict the effects of future developments in the PRC legal system on our business operations, including the promulgation of new laws, or changes to existing laws or the interpretation or enforcement thereof. These uncertainties could limit the legal protections available to us and our investors, including you. Moreover, any litigation in China may be protracted and result in additional costs and diversion of our resources and management’s attention.</w:t>
      </w: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administrative requirements of the CSRC or other PRC government authorities may be required in connection with our future offerings under PRC law. Furthermore, the PRC government has recently promulgated laws and regulations on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CSRC filing requirements. On August 8, 2006, six PRC regulatory agencies, including the MOFCOM, the State-Owned Assets Supervision and Administration Commission, the State Administration of Taxation or the SAT, the State Administration for Industry and Commerce, currently known as the SAMR, the CSRC, and the State Administration of Foreign Exchange (“SAFE”) jointly adopted the Regulations on Mergers and Acquisitions of Domestic Enterprises by Foreign Investors (the “M&amp;A Rules”), effective on September 8, 2006, which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obtain the approval of the CSRC prior to the listing and trading of such special purpose vehicle’s securities on an overseas stock exchange. However, uncertainty remains regarding the scope and applicability of the M&amp;A Rules to offshore special purpose vehicles.</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PRC government has recently promulgated laws and regulations on overseas securities offerings and other capital markets activities and foreign investment in China-based companies. See “Item 4. Information on the Company—4.B. Business Overview—Regulation—PRC—Regulations Relating to Overseas Listing” for more details. On February 17, 2023, the CSRC promulgated the CSRC Filing Rules, effective on March 31, 2023, requiring Chinese domestic companies’ overseas securities offerings or listings be filed with the CSRC. Pursuant to Overseas Listing Trial Measures, a filing-based regulatory system will be applied to both “direct” and “indirect” overseas offering or listing of PRC domestic companies. The “indirect overseas offering or listing” of PRC domestic companies refers to such securities offering or listing in an overseas market made in the name of an offshore entity, but based on the underlying equity, assets, earnings or other similar rights of a domestic company which operates its main business domestically. If the issuer meets the following conditions, the offering or listing shall be determined as an indirect overseas offering or listing by a domestic company: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PRC, or its main place(s) of business are located in mainland China, or the senior managers in charge of its business operation and management are mostly PRC citizens or domiciled in mainland China. Where an issuer submits an application for initial public offering to competent overseas regulators, such issuer must file with the CSRC within three business days after such application is submitted. In addition, pursuant to the guidelines on the application of Overseas Listing Trial Measures, where an issuer submits a confidential application for offering and listing to competent overseas regulators, such issuer may submit an explanation to the CSRC at the time of filing and apply for postponement of publication of the filing information, and such issuer shall notify the CSRC within three business days after the application documents for offering and listing are published overseas. We have submitted the relevant filing documents with the CSRC in connection with our initial public offering and the CSRC published the notification on our completion of the required filing procedures for our initial public offering on December 27, 2023.</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CSRC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CSRC Filing Rules. If we fail to obtain required approval or complete other review or filing procedures, under the CSRC Filing Rules or otherwise, for any future overseas securities offering or listing, we may face sanctions by the CSRC or other PRC regulatory authorities, which may include fines and penalties on our operations in China, limitations on our operations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the ADSs.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cannot guarantee that new rules or regulations promulgated in the future will not impose any additional requirement on us or otherwise tighten the regulations on PRC companies seeking overseas offering or listing. In addition to the aforementioned filing procedures with the CSRC, if the CSRC or other PRC regulatory authorities subsequently determines that we need to obtain their approval or complete other administrative procedures for our future offerings, or if such government authorities promulgate any interpretation or implement rules that would require us to obtain approvals from the CSRC or other regulatory authorities or complete other required administrative procedures for our future offerings, it is uncertain whether we can or how long it will take us to obtain such approval or complete such administrative procedures, or obtain any waiver of aforesaid requirements if and when procedures are established to obtain such waiver. Any failure to obtain or delay in obtaining such approval or completing such required administrative procedures for our future offerings, or a rescission of any such approval obtained by us, could subject us to sanctions by the CSRC or other PRC regulatory agencies. In any such event, these regulatory authorities may also impose fines and other penalties on our operations in China, limit our operating privileges in China, delay or restrict the repatriation of the proceeds from our offshore offerings into the PRC or take other actions that could adversely affect our business, operating results and financial condition, as well as our ability to offer or continue to offer securities to investors.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cybersecurity review by the CAC in the future.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28, 2021, the CAC and several other government authorities published the Revised Cybersecurity Review Measures, which came into effect on February 15, 2022. The Revised Cybersecurity Review Measures provide that an online platform operator, which possesses personal information of at least one million users, must apply for a cybersecurity review by the CAC if it intends to be listed in foreign countries.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and do not expect to in the near future, possess over one million users’ personal information. As of the date of this annual report, we have not been involved in any investigations or become subject to a cybersecurity review initiated by any regulatory authorities based on the Revised Cybersecurity Review Measures, and we have not received any warnings or sanctions in such respect from any regulatory authorities. Based on applicable PRC laws and regulations and our communication with the relevant PRC authority, as advised by Fangda Partners, our PRC legal counsel, we do not believe that we and our subsidiaries are subject to the cybersecurity review by the CAC with respect to our initial public offering. However, we cannot assure you that the CAC would take the same view as we do, and there is no assurance that we can fully or timely comply with such laws. If we were deemed to be an “operator of critical information infrastructure” or a “data processor” controlling personal information of no less than one million users under the Revised Cybersecurity Review Measures, or if other regulations promulgated in relation to the Revised Cybersecurity Review Measures are deemed to apply to us, our securities offerings in the United States could be subject to cybersecurity review by the CAC, in the future. In the event that we are subject to any mandatory cybersecurity review and other specific actions required by the CAC, we face uncertainty as to whether any clearance or other required actions can be completed in a timely fashion or at all, which could materially and adversely affect our business, financial condition, results of operations and prospects.</w:t>
      </w:r>
    </w:p>
    <w:p>
      <w:pPr>
        <w:spacing w:after="0" w:line="2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audit report for the fiscal year ended December 31, 2023, which is included in this annual report, is prepared by our former auditor, which the PCAOB was unable to inspect and investigate completely before 2022 and, as such, our investors had been deprived of the benefits of such inspections in the past.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former auditor, the independent registered public accounting firm that issues the audit report for the fiscal year ended December 31, 2023, which is included in this annual report, as an auditor of companies that are traded publicly in the United States and a firm registered with the PCAOB is subject to laws in the United States pursuant to which the PCAOB conducts regular inspections to assess such firms’ compliance with the applicable professional standards. Our former auditor is located in mainland China, a jurisdiction where the PCAOB was historically unable to conduct inspections and investigations completely before 2022. On December 15, 2022, the PCAOB removed mainland China and Hong Kong from the list of jurisdictions where it is unable to inspect or investigate completely registered public accounting firms.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7, 2024, we engaged Marcum Asia CPAs LLP (“Marcum Asia”) as our independent registered public accounting firm to audit our consolidated financial statements for the fiscal year ended December 31, 2024. For more details, see “Item 16F. Change in Registrant’s Certifying Accountant.” Marcum Asia is an accounting firm based in New York that is registered with the PCAOB and is subject to laws in the United States pursuant to which the PCAOB conducts regular inspections to assess its compliance with the applicable professional standards. If in the future, the PCAOB concludes that it is unable to inspect and investigate completely our auditor, we and our investors in the ADSs would be deprived of the benefits of such PCAOB inspections again. The inability of the PCAOB to conduct inspections of accounting firms registered with the PCAOB in China in the past makes it more difficult to evaluate the effectiveness of our former independent registered public accounting firm’s audit procedures or quality control procedures as compared to auditors outside China that are subject to the PCAOB inspections, which could cause investors and potential investors in the ADSs to lose confidence in the quality of work performed by our independent registered public accounting firm and the company’s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ADSs will be prohibited from trading in the United States under the HFCAA if the PCAOB is unable to inspect and investigate completely our auditor. The prohibition from trading the ADSs, or the threat of their being prohibited from trading, may cause the value of the ADSs to significantly decline or be worthless.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HFCAA, which was signed into law on December 18, 2020 and amended by the Consolidated Appropriations Act, 2023 signed into law on December 29, 2022, if the SEC determines that we have filed audit reports issued by a registered public accounting firm from a jurisdiction where the PCAOB is unable to conduct inspections and investigations for two consecutive years, the SEC will prohibit our ordinary shares or the ADSs from being traded on a national securities exchange or in the over-the-counter trading market in the United States. The Consolidated Appropriations Act, 2023 reduced the number of consecutive non-inspection years required for triggering the prohibitions under the HFCAA from three years to two years.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16, 2021, the PCAOB issued the 2021 Determinations, pursuant to which it notified the SEC of its determination. On December 15, 2022, the PCAOB vacated its 2021 Determinations and removed mainland China and Hong Kong from the list of jurisdictions where it is unable to inspect or investigate completely registered public accounting firms. In addition, our current auditor is an accounting firm based in New York that is registered with the PCAOB and is subject to laws in the United States pursuant to which the PCAOB conducts regular inspections to assess its compliance with the applicable professional standards. Therefore, we do not expect to be identified as a Commission-Identified Issuer under the HFCAA after we file this annual report on Form 20-F.</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after we file our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In the event of such prohibition, our securities could potentially be delisted by the Nasdaq.</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ordinary shares and the ADSs are prohibited from trading in the United States, there is no certainty that we will be able to list on a non-U.S. exchange or that a market for our ordinary shares will develop outside the United States. Such a prohibition would substantially impair your ability to sell or purchase the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results of operations, financial condition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receive a portion of revenue in Renminbi. The PRC government imposes controls on the convertibility of the Renminbi into foreign currencies and, in certain cases, the remittance of currency out of China. We receive a considerable portion of our revenues in Renminbi. Under our current corporate structure, we mostly rely on dividend payments from our subsidiaries, including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 We also face uncertainty with respect to indirect transfers of equity interests in PRC resident enterprises by their non-PRC holding companies.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Offshore Investment and Financing and Roundtrip Investment Through Special Purpose Vehicles (“SAFE Circular 37”). SAFE Circular 37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SAFE Circular 37 is applicable to our shareholders who are PRC residents and may be applicable to any offshore acquisitions that we make in the future. In addition, pursuant to SAFE Circular 37, PRC residents who participate in share incentive plans in overseas non-publicly-listed companies may submit applications to SAFE or its local branches for the foreign exchange registration with respect to offshore special purpose companies. We and our executive officers and other employees, who are PRC citizens or who reside in the PRC for a continuous period of not less than one year and who have been granted options, are subject to these regulations. Failure to complete the SAFE registrations may subject them to fines and legal sanctions, and there may be additional restrictions on their ability to exercise their stock options or remit proceeds gained from sale of their stock into the PRC.</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requested shareholders or beneficial owners who directly or indirectly hold shares in our Cayman Islands company and are known to us as being PRC residents to complete the foreign exchange registrations. However, we may not be informed of the identities of all the PRC individuals or entities holding direct or indirect interest in our company, nor can we compel our beneficial owners to comply with the SAFE registration requirements. As a result, we cannot assure you that all of our shareholders or beneficial owners who are PRC residents have complied with, and will in the future make, obtain or update any applicable registrations or approvals required by SAFE regulations. In addition, concerning the uncertainty of the application of SAFE Circular 37, some of our current beneficial owners who are PRC residents may not be able to complete or update their SAFE registrations to address the changes of their offshore interest in a timely manner, or at all. Any failure or inability by such shareholders or beneficial owners to comply with SAFE regulations, or failure by us to amend the foreign exchange registrations of our PRC subsidiaries, could subject us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SAT has issued circulars concerning employee share options or restricted shares. Under these circulars, employees working in the PRC who exercise share options, or whose restricted shares or restricted share units vest, will be subject to PRC individual income tax. Our PRC subsidiaries have obligations to file documents related to employee share options or restricted shares with relevant tax authorities and to withhold individual income taxes of those employees related to their share options, restricted shares or restricted share units. In addition, the sales of the ADSs or shares held by such PRC individual employees after their exercise of the options, or the vesting of the restricted shares or restricted share units, are also subject to PRC individual income tax. If the employees fail to pay, or the PRC subsidiaries fail to withhold, their income taxes according to relevant laws, rules and regulations, the PRC subsidiaries may face sanctions imposed by the tax authorities or other PRC government authorities.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 On October 17, 2017, the SAT issued the Public Notice on Issues Relating to Withholding at Source of Income Tax of Non-resident Enterprises (“SAT Bulletin 37”), which came into effect on December 1, 2017. The SAT Bulletin 37 further clarifies the practice and procedure of the withholding of non-resident enterprise income tax.</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bulletins, or to establish that our company should not be taxed under these bulletins, which may have a material adverse effect on our financial condition and results of operations.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a circular, known as SAT Circular 82, which was amended in 2017,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senior management and core management departments in charge of its daily operations function have their presence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not less than half of the enterprise’s directors or senior management with voting rights habitually reside in the PRC.</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believe our company or any of our subsidiaries outside the PRC are PRC resident enterprises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subsidiaries outside China) is a PRC resident enterprise for enterprise income tax purposes, our company (or such subsidiaries) will be subject to PRC enterprise income on its worldwide income at the rate of 25%. Furthermore, if we are treated as a PRC tax resident enterprise we will be required to withhold a 10% withholding tax from dividends we pay to our shareholders (including ADS holders) that are non-resident enterprises. In addition, non-resident enterprise shareholders (including ADS holders) may be subject to PRC tax at a rate of 10% on gains realized on the sale or other disposition of the ADSs or Class A ordinary shares, if such gain is treated as derived from a PRC source. Furthermore, if we are deemed a PRC resident enterprise, dividends paid to our non-PRC individual shareholders (including ADS holders) and any gain realized on the sale or other disposition of the ADSs or Class A ordinary shares by such shareholders (including ADS holders) may be subject to PRC tax at a rate of 20% (which in the case of dividends may be withheld at source). These rates may be reduced by an applicable tax treaty, but it is unclear whether non-PRC shareholders (including ADS holders) of our company would, in practice, be able to obtain the benefits of any tax treaties between their country of tax residence and the PRC in the event that we are treated as a PRC resident enterprise. Any such tax may reduce the returns on your investment in the ADSs or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international operations and supply chain, including unfavorable regulatory, political, tax, labor, pandemic and market conditions and other risks, which could adversely affect our business, results of operations, financial condition and prospects.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and will be subject to a number of risks associated with international business activities that may increase our costs, impact our ability to expand on a global basis, and require significant management attention. These risks include:</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customers and users in new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U.S., Chinese and foreign government taxes, regulations, and permit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U.S., Chinese and foreign government trade restrictions, tariffs, and price or exchange controls;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services and products in certain international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recruit, and retain talents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U.S., Chinese and foreign labor laws, regulations, and restrictions;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U.S., Chinese and foreign laws, regulations, and restrictions related to constructions, environment protection, real properties, and intellectual properties;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war or events of terrorism;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international economies.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we fail to successfully address these risks, our business, results of operations, financial condition and prospects could be materially harmed.</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tariffs, and import/export regulations may adversely affect our business, results of operations, financial condition and prospects.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global political, regulatory and economic conditions, or in laws and policies governing foreign trade, manufacturing, development, and investment in the territories or countries where we currently purchase components, seek to offer our solutions, or conduct our business, could adversely affect our business, results of operations, financial condition and prospects.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For example, in April 2025, the United States imposed a 10% tariff on most countries, and an individualized reciprocal higher tariff on countries with which the United States has the largest trade deficits. As of the date of this annual report, the United States and China have imposed significant tariffs on goods imported from one another, and tariff rates remain subject to change. These policies have contributed to volatility and uncertainty in the global economy and financial markets. We do not believe that such tariffs have had a material impact on our business operations to date, but as relevant policies are rapidly evolving, their potential future impact remains uncertain. Additionally, such geopolitical conflicts may also lead to fluctuations in currency exchange rates, increased procurement costs and declines in trading prices of our ordinary shares and the ADSs. In extreme cases, such conflicts could result in economic downturns that materially and adversely impact our operations.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Tensions in international trade and investment and political tensions between the United States and China, and any escalation of such tensions, may have a material negative impact on our ability to secure the supply of key components necessary for our operations and our ability to continue to sell to global customers. For example, as the U.S. export control laws and regulations continue to expand and evolve, future U.S. export controls may materially affect or target some of our suppliers or customers. As a result, our business may be affected if we fail to promptly secure alternative sources of supply or demand on terms acceptable to us. Rising political tensions could reduce levels of trade, investment, technological exchange, and other economic activities between the United States and China, which would have a material adverse effect on global economic conditions and the stability of global financial markets as well as our and our customers’ business, prospects, financial condition, and results of operations.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we expand our operations to international markets, we may become subject to various restrictions under applicable export control laws and regulations. Changes in our solution offerings, technologies, or changes in export and import laws, may delay the introduction and growth of our business in international markets, prevent our customers with international operations from using our services or, in some cases, prevent the access or use of our services to and from certain countries, governments, persons, or entities altogether. Further, any change in export or import regulations or related laws, shift in the enforcement or scope of existing regulations, or change in the countries, governments, persons, or technology targeted by such regulations could result in decreased use of our services or in our decreased ability to export or sell our services to existing or potential customers with international operations. Any decreased use of our services or products or limitation on our ability to export or sell our services or products would likely harm our business, results of operations, financial condition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are subject to numerous standards and regulations which may materially and adversely affect our business, results of operations, financial condition and prospects. The current lack of certainty and alignment in international standards and regulations may lead to multiple production variants of the same product, products failing customer testing, retrofit requirements for already fielded products, litigation with customers facing retrofit expenses, additional test and compliance expenses and further unexpected costs, and we may not be able to comply with new standards and regulations on a competitive timeline or at all.</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Emerging industry standards for EV chargers, coupled with utilities and other large organizations mandating their own adoption of specifications that may not become widely adopted in the industry, may hinder innovation or slow new product or new feature introduction. Countries may also establish conflicting standards and regulations, increasing product development and compliance costs, delaying deliveries to customers and reducing profitability by introducing additional complexity and lack of standardization of production processes.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should regulatory bodies later impose a standard that is not compatible with our infrastructure, we may incur significant costs to adapt our business model to the new regulatory standard, which may require significant time and, as a result, may have a material adverse effect on our business, results of operations, financial condition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us or our management named in the annual report based on foreign laws.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We conduct the majority of our operations in markets such as Europe, North America and Asia. In addition, some of our senior executive officers reside within these jurisdictions for a significant portion of the time and some of them are nationals of such countries. As a result, it may be difficult for our shareholders to effect service of process upon us or those persons outside the United States.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 the U.S. Department of Justice (the “U.S. DOJ”) and other U.S. authorities often have substantial difficulties in bringing and enforcing actions against non-U.S. companies and non-U.S. persons, including company directors and officers, in certain emerging markets.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As a result of all of the above, you may have more difficulties in protecting your interests in your emerging market investments.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has been and may continue to be volatile, which could result in substantial losses to investors.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the ADSs has been and may continue to be volatile and could fluctuate widely due to factors beyond our control. This may happen because of broad market and industry factors, including the performance and fluctuation of the market prices of other companies with business operations located mainly in Europe, the United States or China that have listed their securities in the United States. In addition to market and industry factors, the price and trading volume for the ADSs may be highly volatile for factors specific to our own operations, including the following:</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our directors, management or employees, or our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 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action suit, whether or not successful, could harm our reputation and restrict our ability to raise capital in the future. In addition, if a claim is successfully made against us, we may be required to pay significant damages, which could have a material adverse effect on our business, results of operations, financial condition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costs as a result of being a public company.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public company and expect to incur significant legal, accounting and other expenses that we did not incur as a private company. These additional costs could negatively affect our financial results. In addition, changing laws, regulations and standards relating to corporate governance and public disclosure, including regulations implemented by the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Most of the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their new roles and responsibilities. As a public company, we are subject to significant regulatory oversight and reporting obligations under the U.S.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or no analysts publish reports on us at all, we could lose visibility in the financial markets, which in turn could cause the market price or trading volume for the ADSs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the ADSs could adversely affect their market price.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The ADSs sold in our initial public offering are freely tradable by persons other than our “affiliates”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We cannot predict what effect, if any, market sales of securities held by our significant shareholders or any other shareholder or the availability of these securities for future sale will have on the market price of the ADSs.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jc w:val="both"/>
        <w:ind w:firstLine="884"/>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 listed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are now conducting internal and external investigations into the allegations and, in the interim, are subject to shareholder lawsuits and/or SEC enforcement actions.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 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a price appreciation of the ADSs for a return on your investment.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us being unable to pay our debts as they fall due in the ordinary course of business.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as amended from time to time, the Companies Act (As Revised) of the Cayman Islands (the “Cayman Islands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In addition,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the company as a whole.</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special resolutions which have been passed by shareholders, register of mortgages and charges) or to obtain copies of lists of shareholders of these companies. Under Cayman Islands law, the names of our current directors can be obtained from a search conducted at the Registrar of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conduct our business operations in multiple jurisdictions in addition to the United States. The SEC, the U.S. DOJ and other authorities often have substantial difficulties in bringing and enforcing actions against non-U.S. companies and non-U.S. persons, including company directors and officers. Additionally, our public shareholders may have limited rights and few practical remedies in the other jurisdictions where we operate, as shareholder claims that are common in the United States, including class action suits based on securities law and fraud claims, generally are difficult or impossible to pursue as a matter of law or practicality in many other jurisdictions.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with no business operations and substantially all of our assets are located outside the United States. Most of our current operations are conducted in Germany.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the jurisdictions where we operate may render you unable to enforce a judgment against our assets or the assets of our directors and officers.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 You will not, by agreeing to the terms of the deposit agreement, be deemed to have waived our or the depositary’s compliance with U.S. federal securities laws or the rules and regulations promulgated thereunder.</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State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you or any other owners or holders of the ADSs bring a claim against us or the depositary in connection with matters arising under the deposit agreement or the ADSs, including claims under U.S. federal securities laws, you or such other owners or holders may not be entitled to a jury trial with respect to such claims, which may have the effect of limiting and discouraging lawsuits against us or the depositary, and may lead to increased costs to bring a claim.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 or holder of the ADSs or by us or the depositary of compliance with any substantive provision of the U.S. federal securities laws and the rules and regulations promulgated thereunder.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under the deposit agreement are limited by the terms of the deposit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deposit agreement governing the ADSs representing our Class A ordinary shares, any controversy, claim or cause of action brought by any party against us arising out of or relating to the Class A ordinary shares, the ADSs, the ADRs,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 The place of the arbitration shall be The City of New York, State of New York, United States of America. This provision applies to ADS holders who purchased the ADSs in our initial public offering and secondary transactions, and applies to claims under the U.S. federal security laws. However, a claimant could also elect not to submit its claim to arbitration and instead bring its claim in any court having jurisdiction of it. The deposit agreement does not give us the right to require anyone to submit any claim to arbitration.</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Such arbitration provisions may lead to increased costs to bring a claim, limited access to information and other imbalances of resources between our company and shareholders, and may discourage claims or limit your ability to bring a claim in a judicial forum you find favorable. No condition, stipulation or provision of the deposit agreement or ADSs serves as a waiver by any holder or beneficial owner of ADSs or by us or the depositary of compliance with the Securities Act and the Exchange Act. The state and federal courts sitting in New York generally respect the contractual decision of the parties to submit their disputes to arbitration and such arbitration provisions are generally enforceable under the U.S. federal laws and the laws of the State of New York, subject to certain exceptions, such as corruption, fraud or undue means. Therefore, we believe that the arbitration provision in the deposit agreement is enforceable under the U.S. federal laws and the laws of the State of New York.</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the ADSs are limited by the terms of the deposit agreement, and you may not be able to exercise your right to direct the voting of the Class A ordinary shares underlying the ADSs.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holder of the ADSs, you do not have any direct right to attend general meetings of our company or to cast any votes at such meetings. You are only able to exercise the voting rights which attach to the Class A ordinary shares underlying the ADSs indirectly by giving voting instructions to the depositary in accordance with the provisions of the deposit agreement. Upon receipt of your voting instructions, the depositary may try to vote the Class A ordinary shares underlying the ADSs in accordance with your instructions. If we request the depositary to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are not able to directly exercise any right to vote with respect to the underlying Class A ordinary shares unless you cancel the ADSs and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do so. We cannot assure you that you will receive the voting materials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deposit agreement, if no voting instruction from you is received, the depositary may give us a discretionary proxy to vote the Class A ordinary shares underlying the ADSs at shareholders’ meetings if we have timely provided the depositary with notice of meeting and related voting materials, the depositary does not receive voting instructions from you by the specified date with respect to a question to be voted upon, and we confirm to the depositary that (i) we wish to receive a proxy to vote uninstructed shares, (ii) we reasonably do not know of any substantial shareholder opposition to a particular question, and (iii) the particular question is not materially adverse to the interests of shareholders.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our Class A ordinary shares underlying your ADSs from being voted, except under the circumstances described above. This may adversely affect your interests and make it more difficult for ADS holders to influence the management of our company. Holders of our Class A ordinary shares are not subject to this discretionary proxy.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as well as the concentration of our share ownership among executive officers, directors and principal shareholders, may limit your ability to influence corporate matters and could discourage others from pursuing any change of control transactions that holders of our Class A ordinary shares and the ADSs may view as beneficial.</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Mr. Yifei Hou, our director and chief executive officer, and Mr. Rui Ding, our chairman and chief technology officer, beneficially owned all of our issued and outstanding Class B ordinary shares. These Class B ordinary shares constituted approximately 22.73% of our total issued and outstanding share capital and 74.63% of the aggregate voting power of our total issued and outstanding share capital. Mr. Yifei Hou, as a result of his sole voting power and the shared voting power resulting from arrangement under acting-in-concert agreement entered into in August 2023, beneficially owns all of our issued Class B ordinary shares. As a result, Mr. Yifei Hou has the ability to control the outcome of matters submitted to the shareholders for approval, and we are a “controlled company” within the meaning of the Nasdaq rules.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result of this dual-class share structure and the concentration of control, Mr. Yifei Hou and Mr. Rui Ding have significant influence over our business, including decisions regarding mergers, consolidations, liquidations and the sale of all or substantially all of our assets, election of directors and other significant corporate actions. In addition, our executive officers, directors, and principal shareholders and their affiliated entities together beneficially owned approximately 90.28% of the voting power of our outstanding ordinary shares as of March 31, 2026. These shareholders may take actions that are not in the best interest of us or our other shareholders. This concentration of control may discourage, delay or prevent a change in control of our company, which could have the effect of depriving our other shareholders of the opportunity to receive a premium for their shares as part of a sale of our company and may reduce the price of the ADSs. It may also limit your ability to influence corporate matters and could discourage others from pursuing any potential merger, takeover or other change of control transactions that holders of Class A ordinary shares and ADSs may view as beneficial.</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may rely on exemptions from certain corporate governance requirements that provide protection to shareholders of other companies.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rules because Mr. Yifei Hou controls a majority of our total voting power. See also “Item 3. Key Information—3.D. Risk Factors—Risks Related to the ADSs—Our dual-class share structure with different voting rights, as well as the concentration of our share ownership among executive officers, directors and principal shareholders, may limit your ability to influence corporate matters and could discourage others from pursuing any change of control transactions that holders of our Class A ordinary shares and the ADSs may view as beneficial.” For so long as we remain a controlled company under that definition, we are permitted to elect to rely, and may rely, on certain exemptions from corporate governance rules, such as the requirement that a majority of our board of directors must be independent directors, and the requirement that our board of directors have a compensation committee and nominating and corporate governance committee composed entirely of independent directors. Currently, we do not plan to utilize the exemptions available for controlled companies, but will rely on the exemption available for foreign private issuers to follow our home country governance practices instead. See “Item 3. Key Information—3.D. Risk Factors—Risks Related to the ADSs—We are a foreign private issuer within the meaning of the rules under the Exchange Act, and as such we are exempt from certain provisions applicable to U.S. domestic public companies.” If we cease to be a foreign private issuer or if we cannot rely on the home country governance practice exemption for any reason, we may decide to invoke the exemptions available for a controlled company as long as we remain a controlled company. As a result, you will not have the same protection afforded to shareholders of companies that are subject to these corporate governance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(“PFIC”) for any taxable year,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investors in the ADSs or Class A ordinary shares.</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value of its assets (generally determined on a quarterly average basis) consists of assets that produce, or are held for the production of, passive income. For purposes of these calculations, a non-U.S. corporation that owns, directly or indirectly, at least 25% by value of the stock of another corporation is treated as if it held 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proportionate share of the assets of the other corporation and received directly its proportionate share of the income of the other corporation. Passive income generally includes dividends, interest, investment gains, and certain rents and royalties. Cash and cash equivalents are generally treated as passive assets. Goodwill generally is treated as an active asset to the extent associated with activities that generate active income.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Based on the composition of our income and assets and the estimated value of our assets, including goodwill (determined in large part by reference to our market capitalization), we do not believe we were a PFIC for our 2025 taxable year. However, our PFIC status for any taxable year is an annual factual determination that can be made only after the end of that year. Specifically, our PFIC status for any taxable year will depend on the composition of our income and assets and the value of our assets from time to time (including the value of our goodwill, which may be determined in large part by reference to our market capitalization, which has declined since our initial public offering, and which may continue to decline or be volatile). We currently hold a substantial amount of cash. While that continues to be the case, we may be or become a PFIC for any taxable year if our market capitalization declines or fluctuates. Accordingly, we cannot assure U.S. Holders (as defined below in “Item 10. Additional Information—10.E. Taxation—United States Federal Income Tax Considerations) in the ADSs or Class A ordinary shares that we will not be a PFIC for any taxable year.</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the ADSs or Class A ordinary shares, the U.S. Holder generally will be subject to adverse U.S. federal income tax consequences, including increased taxes on gains and certain distributions as well as reporting requirements. U.S. Holders should consult their tax advisers regarding our possible status as a PFIC. See “Item 10. Additional Information—10.E. Taxation—United States Federal Income Tax Considerations—Passive Foreign Investment Company Rules.”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could be adverse U.S. federal income tax consequences to certain U.S. investors that own at least 10% of the ADSs or our Class A ordinary shares (directly or indirectly).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 taxed income,” even if the CFC has made no distributions to its shareholders.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not expected to be a CFC. However, the determination of CFC status is complex and includes certain stock attribution rules under U.S. tax laws in effect for certain taxable years that begin before January 1, 2026 (the “Downward Attribution Rules”), pursuant to which our non-U.S. subsidiaries would be expected to be treated as constructively controlled by our U.S. subsidiary and therefore treated as CFCs for such taxable years. The Downward Attribution Rules were amended as part of the One Big Beautiful Bill Act (the “OBBBA”) that was enacted on July 4, 2025. Effective for taxable years of foreign corporations beginning after December 31, 2025, the OBBBA amendments generally prohibit downward attribution from a foreign person, such as the Company, to its non-U.S. subsidiaries for purposes of determining United States shareholder and controlled foreign corporation status. Consequently, the Company’s non-U.S. subsidiaries generally are not expected to be treated as controlled foreign corporations for taxable years beginning after December 31, 2025 solely as a result of the Company’s ownership of U.S. subsidiaries.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intend to provide information to Ten Percent Shareholders that may be required in order for those shareholders to properly report their U.S. taxable income with respect to our or our subsidiaries’ operation. Prospective investors that may be or become Ten Percent Shareholders who directly or indirectly own the ADSs or our Class A ordinary shares should consult their tax advisers with respect to the potential adverse tax consequences of investing in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applicable to U.S. domestic public companies.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54"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quarterly certifications by the principal executive and financial officers or current reports on Form 8-K;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regular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an exempted company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(iii) an audit committee composed of at least three members; (iv) regularly scheduled executive sessions with only independent directors each year and (v) shareholder approval for the adoption of and any material amendment to equity incentive plans. To the extent that we choose to follow home country practice in the future, our shareholders may be afforded less protection than they otherwise would enjoy under Nasdaq corporate governance listing standards applicable to U.S. domestic issuers.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XCHG Limited (formerly known as Xevd Limited) was incorporated in the Cayman Islands on December 16, 2021.</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trace our history back to the founding of X-Charge Technology, a private limited liability company incorporated under the laws of PRC in 2015, which owned 100% equity interests in XCharge Europe prior to the consummation of the restructuring in 2023 for our initial public offering. XCharge Europe was established in 2018 under the laws of Germany. We currently conduct all of our businesses through our subsidiaries.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2024, we completed an initial public offering in which we offered and sold an aggregate of 138,488,920 Class A ordinary shares in the form of ADSs (reflecting the partial exercise of the over-allotment option by the underwriter to purchase an additional 128,888 ADSs). On September 10, 2024, the ADSs commenced trading on Nasdaq under the symbol “XCH.”</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XCharge Europe GmbH, Heselstücken 18, 22453 Hamburg, Germany and XCharge Energy USA Inc, 19121 Marketplace Avenue, Building 2-Suite 2-145, Kyle, TX 78640. Our telephone numbers at these addresses are +49 4057128593 and +1 5122149159, respectively. Our registered office in Cayman Islands is at the offices of ICS Corporate Services (Cayman) Limited of Palm Grove Unit 4, 265 Smith Road, George Town, P.O. Box 52A Edgewater Way, #1653, Grand Cayman KY1-9006, Cayman Islands.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our principal capital expenditures, see “Item 5. Operating and Financial Review and Prospects—5.B Liquidity and Capital Resources.”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Such information can also be found on our investor relations website at https://investors.xcharge.com/.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offer comprehensive EV charging solutions which primarily include the DC fast chargers named the C6 series and the C7 series, the advanced battery-integrated DC fast chargers including Net Zero Series (“NZS”) and GridLink (designed specifically for the North American grid), as well as our accompanying services. Our integrated solution combining proprietary charging technology, energy storage technology and accompanying services significantly improves EV charging efficiency and unlocks the value of energy storage and management. We were a leading high power charger supplier in Europe by sales volume in 2025. As of the date of this annual report, we have begun the commercial deployment of our NZS solution in Europe and Asia. Customers of NZS solutions include EV manufacturers, global energy players and charge point operators. We have also begun the commercial deployment of our GridLink solution in Europe and the United States.</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increasing adoption of EV and renewable energy has brought fundamental changes to the demand and supply of electricity. Not only has electricity demand increased in aggregate, but peak demand patterns have also changed. In addition, the intermittent nature of renewable energy generation has led to greater energy supply fluctuation. As a result, there is an imminent need for energy storage solutions to balance electricity demand and supply in order to increase energy utilization and reduce the pressure of grids.</w:t>
      </w:r>
    </w:p>
    <w:p>
      <w:pPr>
        <w:spacing w:after="0" w:line="15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pioneer in the EV charger industry, we believe EV charging is essentially an energy management business that uses innovative technologies and creative solutions to tackle energy problems. Leveraging our established fast charging technology, as well as our in-house proprietary energy storage system (“ESS”) technology, we have pioneered unique advanced battery-integrated EV charging solutions, including NZS and GridLink. NZS and GridLink chargers integrate DC fast chargers with lithium-ion batteries and our proprietary energy management system, storing power when it is generally more available (for example, during nighttime) and discharging power when the demand is high (for example, during daytime).</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NZS and GridLink solutions enable fast charging at low power locations or vis-à-vis aged grid infrastructures (which typically are not compatible with fast charging equipment) with no significant site improvements or grid upgrades needed. With the unique “plug-and-play” design, our NZS and GridLink chargers are easy to install and highly deployable in locations where conventional fast chargers cannot be installed, for example national parks, parking lots or communities with insufficient power capacity. Therefore, we believe that our battery-integrated solutions are able to address a larger market, which cannot be reached by conventional fast chargers.</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NZS and GridLink solutions are designed with a Battery-to-Grid (“B2G”) function. It enables energy to be purchased during off-peak hours at lower prices, and sold back to the grid during peak hours at higher prices, enabling operators to generate profit even if no vehicle is charging. With this important feature, our customers can achieve a return even before considering the utilization of the EV charger itself. This increases the overall return on investment for our customers. At the core of our NZS and GridLink solutions is our proprietary EMS, which automatically optimizes energy supply and usage across the grids, batteries and EVs.</w:t>
      </w:r>
    </w:p>
    <w:p>
      <w:pPr>
        <w:spacing w:after="0" w:line="1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we pursue the digitalization of EV charging solutions, our proprietary software system aims to provide customers with comprehensive solutions catering to different and evolving needs in the EV era, as well as to offer superior user experience. Our software system features an intuitive user interface, where our customers can monitor and control every key detail of the charging network easily, including real-time safety monitoring, traffic settings, and data analysis. We offer upgrades to our software system over-the-air to provide more functions and enhance user experience.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“charger-as-a-service” business model enables us to achieve highly visible revenue streams from repeated purchases from our blue-chip customers. Complementary to the initial sales of products, we generate recurring revenue from the accompanying services throughout the entire life cycle. As the number of installed chargers grows, we expect recurring revenue to account for an increasing portion of our total revenue. In addition, our NZS and GridLink solutions are expected to create new commercialization opportunities for 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formed key customer relationships and partnerships with EV manufacturers, global energy players, charge point operators and EV fleets.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NZS and GridLink solutions, we can essentially penetrate the areas where conventional fast chargers cannot be installed given the grid constraint.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creates opportunities for us to extend our customer base to a broader group that cannot be reached by conventional fast chargers.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established global presence with offices, research and development (“R&amp;D”) centers and sales centers in Europe, the Americas and Asia. We currently deploy our solutions primarily in Europe while we also recognize revenue from other regions, including the United States, China, Brazil and Chile. As of December 31, 2025, our R&amp;D team included 85 personnel based in the United States, Germany and China. For production, we primarily rely on OEMs to manufacture our products. By using OEMs, we are able to commercialize our products with quality assurance at a higher speed and lower upfront costs. It also gives us greater flexibility to adjust and scale up according to demand.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EV charging solutions primarily include the DC fast chargers named the C6 series and the C7 series, the advanced battery-integrated DC fast chargers, including NZS and GridLink (designed specifically for the North American grid), as well as accompanying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established a portfolio of customizable DC fast chargers that offer high power output. Our chargers are easy to install and highly deployable, therefore are suitable for a variety of premises such as commercial centers, parking lots, hubs, fueling stations, parks, and even communities with insufficient power capacity. We support various payment methods such as apps, NFC, and credit cards. Moreover, our chargers are also easily accessible with QR codes, supporting plug-and-play feature without the need of downloading any apps. We also support offline authentication and thus our chargers can operate without internet connection.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key features of our charging products: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Bi-directional</w:t>
            </w:r>
          </w:p>
        </w:tc>
      </w:tr>
      <w:tr>
        <w:trPr>
          <w:trHeight w:val="212"/>
        </w:trPr>
        <w:tc>
          <w:tcPr>
            <w:tcW w:w="35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Model</w:t>
            </w:r>
          </w:p>
        </w:tc>
        <w:tc>
          <w:tcPr>
            <w:tcW w:w="160" w:type="dxa"/>
            <w:vAlign w:val="bottom"/>
          </w:tcPr>
          <w:p>
            <w:pPr>
              <w:spacing w:after="0"/>
              <w:rPr>
                <w:sz w:val="18"/>
                <w:szCs w:val="18"/>
                <w:color w:val="auto"/>
              </w:rPr>
            </w:pPr>
          </w:p>
        </w:tc>
        <w:tc>
          <w:tcPr>
            <w:tcW w:w="25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Peak Output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Charging Guns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Battery Storage</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Charging</w:t>
            </w:r>
          </w:p>
        </w:tc>
      </w:t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C6</w:t>
            </w:r>
          </w:p>
        </w:tc>
        <w:tc>
          <w:tcPr>
            <w:tcW w:w="16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200 kW</w:t>
            </w:r>
          </w:p>
        </w:tc>
        <w:tc>
          <w:tcPr>
            <w:tcW w:w="14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95"/>
              </w:rPr>
              <w:t>Two</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067"/>
              <w:spacing w:after="0"/>
              <w:rPr>
                <w:sz w:val="20"/>
                <w:szCs w:val="20"/>
                <w:color w:val="auto"/>
              </w:rPr>
            </w:pPr>
            <w:r>
              <w:rPr>
                <w:rFonts w:ascii="Times New Roman" w:cs="Times New Roman" w:eastAsia="Times New Roman" w:hAnsi="Times New Roman"/>
                <w:sz w:val="10"/>
                <w:szCs w:val="10"/>
                <w:color w:val="auto"/>
                <w:w w:val="70"/>
              </w:rPr>
              <w:t>\</w:t>
            </w:r>
          </w:p>
        </w:tc>
        <w:tc>
          <w:tcPr>
            <w:tcW w:w="10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C7</w:t>
            </w:r>
          </w:p>
        </w:tc>
        <w:tc>
          <w:tcPr>
            <w:tcW w:w="1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480 kW</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95"/>
              </w:rPr>
              <w:t>Two</w:t>
            </w:r>
          </w:p>
        </w:tc>
        <w:tc>
          <w:tcPr>
            <w:tcW w:w="2180" w:type="dxa"/>
            <w:vAlign w:val="bottom"/>
          </w:tcPr>
          <w:p>
            <w:pPr>
              <w:spacing w:after="0"/>
              <w:rPr>
                <w:sz w:val="17"/>
                <w:szCs w:val="17"/>
                <w:color w:val="auto"/>
              </w:rPr>
            </w:pPr>
          </w:p>
        </w:tc>
        <w:tc>
          <w:tcPr>
            <w:tcW w:w="1300" w:type="dxa"/>
            <w:vAlign w:val="bottom"/>
            <w:gridSpan w:val="2"/>
          </w:tcPr>
          <w:p>
            <w:pPr>
              <w:jc w:val="right"/>
              <w:ind w:right="1067"/>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NZS</w:t>
            </w:r>
          </w:p>
        </w:tc>
        <w:tc>
          <w:tcPr>
            <w:tcW w:w="1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210 kW</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95"/>
              </w:rPr>
              <w:t>Two</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27"/>
              <w:spacing w:after="0"/>
              <w:rPr>
                <w:sz w:val="20"/>
                <w:szCs w:val="20"/>
                <w:color w:val="auto"/>
              </w:rPr>
            </w:pPr>
            <w:r>
              <w:rPr>
                <w:rFonts w:ascii="Times New Roman" w:cs="Times New Roman" w:eastAsia="Times New Roman" w:hAnsi="Times New Roman"/>
                <w:sz w:val="16"/>
                <w:szCs w:val="16"/>
                <w:color w:val="auto"/>
                <w:w w:val="94"/>
              </w:rPr>
              <w:t>466 kWh</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GridLink</w:t>
            </w:r>
          </w:p>
        </w:tc>
        <w:tc>
          <w:tcPr>
            <w:tcW w:w="1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194 kW / 300 kW (under testing and</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95"/>
              </w:rPr>
              <w:t>Two</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27"/>
              <w:spacing w:after="0"/>
              <w:rPr>
                <w:sz w:val="20"/>
                <w:szCs w:val="20"/>
                <w:color w:val="auto"/>
              </w:rPr>
            </w:pPr>
            <w:r>
              <w:rPr>
                <w:rFonts w:ascii="Times New Roman" w:cs="Times New Roman" w:eastAsia="Times New Roman" w:hAnsi="Times New Roman"/>
                <w:sz w:val="16"/>
                <w:szCs w:val="16"/>
                <w:color w:val="auto"/>
                <w:w w:val="94"/>
              </w:rPr>
              <w:t>430 kWh</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certification)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DC fast chargers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offer DC fast chargers with high output power that may reduce charging time and range anxiety for EV drivers as compared to regular alternating current (“AC”) chargers. Our DC fast chargers convert AC power from the electric grid into DC power before distributing the power to charge the EVs’ batteries, thereby reducing the charging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left="3"/>
        <w:spacing w:after="0"/>
        <w:rPr>
          <w:sz w:val="20"/>
          <w:szCs w:val="20"/>
          <w:color w:val="auto"/>
        </w:rPr>
      </w:pPr>
      <w:r>
        <w:rPr>
          <w:rFonts w:ascii="Times New Roman" w:cs="Times New Roman" w:eastAsia="Times New Roman" w:hAnsi="Times New Roman"/>
          <w:sz w:val="18"/>
          <w:szCs w:val="18"/>
          <w:color w:val="auto"/>
        </w:rPr>
        <w:t>Our DC fast chargers primarily include the C6 series and the C7 series.</w:t>
      </w:r>
    </w:p>
    <w:p>
      <w:pPr>
        <w:spacing w:after="0" w:line="117" w:lineRule="exact"/>
        <w:rPr>
          <w:sz w:val="20"/>
          <w:szCs w:val="20"/>
          <w:color w:val="auto"/>
        </w:rPr>
      </w:pPr>
    </w:p>
    <w:p>
      <w:pPr>
        <w:jc w:val="both"/>
        <w:ind w:left="503" w:hanging="503"/>
        <w:spacing w:after="0" w:line="261"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C6 series is a DC fast charger with customizable configuration options for the operators, where the output power can be selected step by step up to 200 kW. Its automatic output adjustment mechanism maximizes the overall operation efficiency and utilization. The C6 series is able to achieve up to 97% conversion rate by built-in power conversion module. Based on customers’ demands, we also offer customized exterior and user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57150</wp:posOffset>
            </wp:positionV>
            <wp:extent cx="3737610" cy="3703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3761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503"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we launched our newest DC charger model, the C7 series. With its high charging power up to 420 kW, the C7 series is able to shorten the time users spend at the charging station. The C7 series features easy-to-use charging socket, integrated cable management, and intuitive touch display, and can be easily deployed and accessed in public parking lots.</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2042795</wp:posOffset>
            </wp:positionH>
            <wp:positionV relativeFrom="page">
              <wp:posOffset>843280</wp:posOffset>
            </wp:positionV>
            <wp:extent cx="3463290" cy="3703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34632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2023, 2024 and 2025, we delivered 1,688, 1,963 and 797 DC fast chargers,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Zero Series (“NZS”) solution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DC fast chargers, we introduced our advanced NZS solution in April 2022, which offers the synergy of energy storage and fast charging experience. NZS chargers are single-unit high-power chargers with a disruptive design and equipped with a liquid cooled lithium-ion battery that can store up to 233kWh of electricity per unit. Moreover, each NZS charger can be equipped with up to two storage units, which allows the maximum battery capacity at 466kWh. An intelligent software system, our proprietary EMS, is applied in the NZS solution, which automatically optimizes energy supply and usage across the grids, batteries and EVs. Our NZS chargers are featured with different charging modes to optimize the charging process. For example, in Max mode, the chargers will deliver the maximum amount of energy and recharge the power storage unit continuously, while in Eco mode, the storage unit will only recharge during off-peak hours. We also allow operators to choose their preference in charging and discharging the batteries according to the different circumstances in local grids. Using a 30kW/60kW power plug to connect the chargers with the grids, NZS chargers are easy to install and do not heavily rely on local infrastructure. The plug-and-play NZS chargers fit with most premises with a standard 30kW power plug, and can be easily relocated. The bi-directional charging feature and the B2G function enable energy to be purchased during off-peak hours at lower prices, and sold back to the grids during peak hours at higher prices, enabling operators to generate profit even if no vehicle is charging. NZS chargers enable 210kW output power and are able to support two vehicles charging at the same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1931035</wp:posOffset>
            </wp:positionH>
            <wp:positionV relativeFrom="page">
              <wp:posOffset>843280</wp:posOffset>
            </wp:positionV>
            <wp:extent cx="3694430" cy="4114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369443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begun the commercial deployment of our NZS solution in Europe and Asia. Customers of NZS solutions include EV manufacturers, global energy players and charge point operators.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GridLink</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to the NZS solution, we introduced GridLink charger in October 2024, a versatile battery-integrated DC fast charger engineered for 208Vac or 480Vac input voltage configurations with the maximum output up to 194kW. We are under final testing and certification for an advanced version of GridLink, whose maximum output can reach up to 300kW. Powered by self-developed battery modules and liquid-cooling technology, GridLink also features the capability for direct photovoltaic and renewable energy connection via DC/DC connection points and onboard maximum power point tracking (“MPPT”) functionality, achieving more energy independence and flexibility for operating parameters. Finally, GridLink can also provide energy back to the grid via B2G functionality, ensuring operation in blackout, brownout, and other challenging operating scenarios. This unit is designed for the needs and requests of the North American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843280</wp:posOffset>
            </wp:positionV>
            <wp:extent cx="5563235" cy="4071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56323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Complementary to the initial sales of products, we also offer accompanying services throughout the entire life cycle, including both software system upgrades and hardware maintenance. We start to charge our customers for the services after an inclusion period of one to three years following the sale.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software, our self-developed software system aims to provide our customers with comprehensive solutions catering to the evolving needs of the EV industry. Our charger management enables customers to remotely connect, configure and monitor their chargers. It offers various functions such as condition monitoring, over-the-air system upgrades, and remote auto diagnosis. For NZS and GridLink solutions, we have developed our proprietary EMS, which automatically optimizes energy supply and usage across the grids, batteries and EVs. With a standard API connector, our software system can be easily integrated with customers’ existing IT systems. We also offer software updates for customers who use our software system.</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hardware, we provide repair and maintenance services for any hardware faults and errors. In addition, we provide customers with after-sales support services, including both online and field support, product training, preventative maintenance and part lifecycle management, helping to ensure smooth customer experience.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safety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take battery safety seriously. We have developed a proprietary heat treatment technology to enhance heat dissipation, which greatly reduces the size and weight of the battery pack. We have also developed an overheat alert technology to detect and discover battery failure at the early stage, thereby enabling early intervention of thermal management. This technology greatly improves the operational safety of the battery.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Smart charging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provide our customers with highly intelligent EV charging solutions at both the charger level and the software level.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of our chargers are designed with adaptive smart charging technology. Our chargers automatically allocate power in real-time according to the charging demand of various vehicles to optimize efficiency of operation. We have also developed intelligent charging functions according to different customer categories on our software system.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Management System (“EMS”)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developed the advanced EMS, which encompasses various energy-related functions. For example, EMS supports the bi-directional charging functions such as battery-to-grid and vehicle-to-grid, making it possible to transmit energy both from grid to batteries or vehicles, as well as reverse transmission from vehicles or batteries to grid. The bi-directional charging function helps reduce the power demand for the grid in peak hours while providing economic energy strategy to customers. In addition, EMS features different energy management modes with different charging and discharging settings among which our customers can flexibly adjust, allowing them to optimize their strategy based on business needs.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Blue-Chip Customers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customers primarily include energy customers and charge point operators. We have also expanded our customer base to a broader group, including EV manufacturers and EV fleets. Specifically, as of the date of this annual report, we have begun the commercial deployment of our NZS solution in Europe and Asia. Customers of NZS solutions include EV manufacturers, global energy players and charge point operators. We have also begun the commercial deployment of our GridLink solution in the United States and Europe. Going forward, we expect to further enhance our cooperation with existing and potential customers across different regions, thereby establishing a strong presence globally.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Solution Case Study—NZS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2025, our NZS solution was deployed in partnership with a major utility provider in the Southeast United States. This deployment supports research on the integration of battery-backed EV charging to enhance grid resilience and optimize energy use. The NZS solution offers high maximum output with two charging ports, effectively reducing idle time and ensuring reliable access to fast charging. Moreover, its bi-directional energy storage capabilities provide not only vehicle charging but also emergency power support for surrounding buildings and additional grid stabilization during peak demand and outages. This project underscores our commitment to delivering sustainable and innovative EV charging solutions that address the evolving needs of utilities and municipalities. We continue to expand the commercialization of NZS solutions to empower more customers with resilient and efficient energy infrastructure.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Solution Case Study—C6 Series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provided C6 DC fast chargers and our intelligent software system to support the electrification of a major car rental company’s fleet at multiple airport locations. A key advantage of this deployment is the ability of our chargers to seamlessly integrate with the existing infrastructure, thanks to their adaptive power capability and flexibility to operate on either 208V or 480V three-phase power. This adaptability simplifies installation and reduces costly electrical upgrades. When an EV is returned to the facility, the driver plugs in our charger, and our system automatically identifies the vehicle and its current battery level. By managing the charging needs of multiple vehicles simultaneously, our system dynamically prioritizes charging and distributes power efficiently across chargers. This deployment enables higher fleet utilization, reduces operational downtime, and supports the company’s sustainability goals by integrating clean energy solutions into its daily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solutions are sold in over 30 countries and regions across Europe, North America, Asia, Africa, Australia, and South America as of the date of this annual report. We currently have a field sales force that maintains business relationships with our customers and develops new sales opportunities through lead generation and marketing. We have established a professional direct sales team primarily based in Europe and the Americas. We actively promote our latest research and development achievements to attract customers and generate more revenue. In addition, we participate in various industry conferences to display our sample products, which help us extend our customer reach. We typically enter into framework agreements with our customers which set forth the parties’ intent to cooperate. Pursuant to such framework agreements, customers place purchase orders to us from time to time, which set forth the details of the separately negotiated purchased amount and product specifications, based on which we prepare delivery.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design our charging products in-house. For production, we primarily rely on OEMs to manufacture our products. For products manufactured by OEMs, we are primarily responsible for the procurement of hardware components, which will be installed at the OEMs. To maintain the high quality of our products, we have established a set of strict quality assurance standards for our OEMs, and have a quality assurance team on-site to oversee the entire manufacturing process. Our chargers shall undergo multiple tests, including security, electromagnetic compatibility, function and environmental tests, to prove safety and reliability of the charging equipment before deployment. We believe that our arrangement with OEMs is able to satisfy our current business needs. In addition, we are expanding our facility capabilities to further support R&amp;D activities for battery energy storage systems (“BESS”) and direct current fast charging (“DCFC”) applications.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emphasize quality control in all aspects of our operations. We devote significant resources to quality control of our products with a dedicated team. From product development, component sourcing to product assembly and delivery, we strictly control the quality of our products and components, so that our products meet our stringent internal standards as well as international and industry standards. In particular, we have attained certifications, such as EU-type examination certification, ISO certification and CE marking certification, for our charging products.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optimize our supply chain management, we are exploring opportunities to enter into framework supply agreements with some key suppliers to strengthen our supply base. In line with our global expansion, we will also explore opportunities to engage additional suppliers to strengthen our supplier diversity. As of December 31, 2025, we have not experienced material disruptions in the sources and availability of raw materials.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invested a significant amount of time and expense into development of our charging technologies and products. Our R&amp;D centers are located in Germany and China, and our R&amp;D team consists of 85 people with background in engineering, software development, and design, among others, as of December 31, 2025. Our R&amp;D focus remains on innovating and optimizing charging technology to maintain our competitive edge. We follow a market-oriented research and development approach to optimize our existing solutions and develop advanced solutions.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rely on a combination of trademark, fair trade practice, intellectual property laws, as well as confidentiality procedures and contractual provisions to protect our intellectual property and our trademarks. As of December 31, 2025, we had 70 patents, 20 copyrights and 51 trademarks.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enter into confidentiality agreements with our employees, and we rigorously control access to our proprietary technology and information. As such, we believe the protection of our trademarks, copyrights, domain names, trade names, patents, trade secrets, know-how, and other proprietary rights is critical to our business. For risk factors relating to our intellectual properties, please see “Item 3. Key Information—3.D. Risk Factors—Risks Related to Our Business—The success of our business depends in large part on our ability to protect and enforce our intellectual property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integrating corporate responsibility into our business model is essential for sustainable growth. As we continue to expand, we are dedicated to leveraging our products and services to provide public welfare resources to all. From the outset of our operations, we have taken proactive steps to promote environmental sustainability, social responsibility, and good governance, all of which are crucial to improving our corporate governance and benefiting society.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importance of contributing to sustainable development for the benefit of our society and environment, and our products and services promote the use of environmentally friendly technology. We are subject to environmental laws and regulations which govern a broad range of environmental matters, including air pollution, noise emissions and water and waste discharge. We consider the protection of the environment to be important and have implemented measures in the operation of our business to ensure our compliance with all applicable requirements under applicable environmental laws and regulations. Dedicated for sustainable development, we closely monitor carbon emissions in product manufacturing. Based on our calculation, the total carbon footprint of our C6 series charger during its life cycle is approximately 11 tCO2e per unit.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encourage our employees and business partners to reduce their energy consumption and carbon footprint. We strive to minimize our operational impact on the environment and promote sustainability and environmental awareness at all levels of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organization. Our initiatives include strictly controlling paper use and air conditioning temperatures, arranging cost-effective transportation for business trips, and using environmentally friendly office supplies. Additionally, we incorporate environmental considerations as part of our supplier selection process.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Ensuring the safety and health of our employees is our top priority. We comply with all applicable workplace safety and occupational health laws and regulations. To ensure our employees’ safety and health, we have established multiple operational procedures and safety standards, which cover fire prevention and occupational health, among others.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our company, we strongly believe that our employees are our most valuable asset, and we are committed to providing them with career advancement opportunities. We offer comprehensive training courses to all employees, including new hires and senior management. We offer our employees a comprehensive compensation package, including a base salary, bonuses, and various benefits. In addition, we value inclusion, diversity and equality in our human resource management policy, as well as continuously improving our support for the female community by providing equal work opportunities and management positions.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European DC fast charger market is highly competitive and fragmented. XCHG Limited is one of the leading manufacturers by sales volume in the European DC fast charger market in 2025.</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XCHG Limited is one of the earliest companies dedicated to the R&amp;D of battery-integrated energy storage chargers. In April 2022, XCHG Limited successfully launched its self-developed product, the NZS charger, which is also one of the few battery-integrated energy storage chargers sold in the industry so far. Compared to competing models, the NZS charger offers superior performance of larger battery capacity, higher charging efficiency, greater tolerance to extreme environments, and longer service life. In addition, the NZS charger is one of the first EV charger products to provide bi-directional charging service in the world.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section sets forth a summary of the principal German laws and regulations and PRC laws and regulations relevant to our global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Product Safety Liability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products will have to comply with product-specific or general, non-specific product safety and product liability legislation and associated regulations.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EU has passed a directive on general product safety that applies in the absence of specific provisions among the EU regulations governing the safety of the products concerned, or if legislation on the sector is insufficient. Under this directive, manufacturers and distributors may only market products that comply with a general requirement of consumer safety. A product is safe if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necessary information in order to assess a product’s inherent risks and take the necessary measures to avoid such threats (for example, withdraw products from the market, inform consumers and recall products). Strict liability applies for defective products throughout the EU in addition to any consumer protections at the national level.</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Germany, the EU requirements have been implemented via the Product Safety Act (Produktsicherheitsgesetz) and the Product Liability Act (Produkthaftungsgesetz), which are accompanied by the more general provisions under the tort law codified in the German Civil Code § 823 (Bürgerliches Gesetzbuch).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Reuse, Recycling and Recovery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Manufacturers of electrical equipment are obligated to assist customers with the disposal, recovery and recycling of certain underlying components of their products once they have reached their end-of-life/ disposal stage, according to the German Circular Economy Act (Kreislaufwirtschaftsgesetz) in conjunction with the Electrical and Electronic Equipment Act (Elektro-und Elektronikgerätegesetz).</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end-of-life batteries. As batteries are our major products, we may have to (potentially) incur additional costs and administrative burdens to comply with laws governing the recovery of batteries and other similar laws. The Batteries Directive, as well as an EU directive on the restrictions of the use of certain hazardous substances in electrical and electronic equipment, limit manufacturing options because they also contain prohibitions on the use of certain identified substances and materials.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Cross-border Import and Export of Products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products may be subject to export control and sanction regulations, as well as trade policy measures, such as tariffs. We may be required to comply with export control regulations, trade and economic sanctions restrictions and embargoes imposed by multiple authorities, such as the EU and the United States. In addition, the EU, the United States and other applicable sanctions and embargo laws and regulations vary in their application (and may be inconsistent): they do not all apply to the same covered countries, persons, groups and/or entities, projects and/or activities, and such sanctions and embargo laws and regulations may be amended or strengthened from time to time.</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Within our primary target market, the German internal market, the principle of free movement of goods applies. When importing goods from, and exporting goods to, non-EU countries, we will have to comply with national and European foreign trade and customs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GDPR applies to the processing of personal data in the context of activities of establishments in the European Economic Area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(Telemediengesetz), which takes into consideration particular aspects of online communication. For example, the German Tele Media Act provides for additional information obligations which are stricter than the general requirements of the Data Protection Act (e.g., a requirement to include an imprint on websites and apps).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 ensure the implementation of a security policy on the processing of personal data. The e-Privacy Directive also contains several provisions aimed at ensuring the confidentiality of electronic communications and sets forth strict (consent) requirements for the use of cookies and for unsolicited communication as part of direct marketing efforts. The e-Privacy Directive has been implemented in Germany by the German Telecommunications Act (Telekommunikationsgesetz). On January 10, 2017, the European Commission released a proposal for a regulation of the European Parliament and of the Council of the EU concerning the respect for private life and the protection of personal data in electronic communications (the e-Privacy Regulation), which would repeal the e-Privacy Directive. The proposal is still subject to legislative procedure and debate.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Law</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Within the EU, compliance with applicable European and national competition laws is monitored by the European Commission and in some cases the national competition authorities. German national competition law is primarily codified in the German Act against Unfair Competition (Gesetz gegen den unlauteren Wettbewerb).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Actions to Enforce Regulations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EU, under the banner of “A New Deal for Consumers,” the European Commission is facilitating a trend towards the increasing availability and use of collective redress mechanisms in areas in which EU law grants rights, including in particular consumer protection rules and regulations. The European Commission made a non-binding recommendation for EU member states to adopt collective redress procedures in June 2013, subsequently consulted on progress in 2017 and published a report on the subject in January 2018. A proposal for a new directive regarding “better enforcement and modernization of EU consumer protection rules” has been put forward by the European Commission. EU member states have also been developing their own rules in this regard. In Germany, a law introducing a declaratory model action (Musterfeststellungsklage) came into force on November 1, 2018. With this new declaratory model action, certain persons are entitled to seek a legal declaration concerning factual or legal matters regarding consumer claims. Consumers can then opt in to be bound by a judgment (and under certain circumstances also a settlement) issued in the declaratory model proceedings.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Corporate Governance and Foreign Investment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establishment, operation and management of companies in China are mainly governed by the PRC Company Law which was promulgated by the Standing Committee of the National People’s Congress in December 1993, with the most recent amendment adopted in December 2023. The revised Company Law came into effect in July 2024, and the revisions thereof include, among other things, strengthening the fiduciary duties of the directors, supervisors and senior management, optimizing the governance mechanism of PRC companies. The revised Company Law also stipulates that the subscribed capital contributions in a limited liability company shall be fully paid by the shareholder(s) within five years since the incorporation date of such company. The Provisions on Implementing the Registered Capital Registration and Management System under the PRC Company Law promulgated by the State Council in July 2024 further specify some transitional arrangements for companies established prior to June 30, 2024. The PRC Company Law applies to both domestic companies and foreign-invested companies. On March 15, 2019, the National People’s Congress of the PRC approved the Foreign Investment Law of the PRC (the “ PRC Foreign Investment Law”), which came into effect on January 1, 2020 and replaced the Sino-foreign Equity Joint Venture Enterprise Law of the PRC, the Sino-foreign Cooperative Joint Venture Enterprise Law of the PRC and the Wholly Foreign-invested Enterprise Law of the PRC. Pursuant to the PRC Foreign Investment Law, “foreign investment” refers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w:t>
      </w:r>
    </w:p>
    <w:p>
      <w:pPr>
        <w:spacing w:after="0" w:line="1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Implementing Regulations of the PRC Foreign Investment Law of the PRC (the “Implementing Rules”) with effect from January 1, 2020 to ensure the effective implementation of the PRC Foreign Investment Law. The Implementing Rules provide that foreign-invested enterprises that invest in the PRC shall be governed by the PRC Foreign Investment Law and the Implementing Rules.</w:t>
      </w:r>
    </w:p>
    <w:p>
      <w:pPr>
        <w:spacing w:after="0" w:line="13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PRC Foreign Investment Law and the Implementing Rules stipulate that the PRC implements a system of pre-entry national treatment plus negative list for the administration of foreign investment. “Pre-entry national treatment” means the treatment given to foreign investors and their investment at the market accessing stage being not less favorable than that given to domestic investors and their investment. “Negative list” means the special administrative measures stipulated by the State for foreign investment’s access to specific areas. Foreign investors shall not invest in any area where foreign investment is prohibited as set out in the negative list; foreign investors shall meet the conditions prescribed in the negative list before investing in any area where foreign investment is restricted. Thus, the PRC grants national treatment to foreign investment outside the negative list. The currently effective negative list is published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by the National Development and Reform Commission and the Ministry of Commerce on April 8, 2024, which became effective on November 1, 2024.</w:t>
      </w:r>
    </w:p>
    <w:p>
      <w:pPr>
        <w:spacing w:after="0" w:line="19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PRC Foreign Investment Law and the Implementing Rules, and the Information Reporting Measures for Foreign Investment jointly promulgated by the Ministry of Commerce and the State Administration for Market Regulation, which took effect on January 1, 2020, a foreign investment information reporting system shall be established and foreign investors or foreign-invested enterprises shall report investment information to competent commerce departments of the government through the enterprise registration system and the enterprise credit information publicity system, and the administration for market regulation shall forward the above investment information to the competent commerce departments in a timely manner. In addition, the Ministry of Commerce shall set up a foreign investment information reporting system to receive and handle the investment information and inter-departmentally shared information forwarded by the administration for market regulation in a timely manner. The foreign investors or foreign-invested enterprises shall report the investment information by submitting reports, including initial reports, change reports, deregistration reports and annual reports.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Import and Export of Goods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Foreign Trade Law of the PRC promulgated by the Standing Committee of the National People’s Congress of the PRC (the “SCNPC”) on May 12, 1994 which came into effect on July 1, 1994 and amended on April 6, 2004 and November 7, 2016, respectively, foreign trade business operators engaging in the import or export of goods or technology must go through the record filing and registration formalities with the Ministry of Commerce (formerly known as the Ministry of Foreign Trade and Commerce) or the agency entrusted by the Ministry of Commerce. According to the Foreign Trade Law of the PRC amended and effective on December 30, 2022 and last amended on December 27, 2025 which came into effect on March 1, 2026, foreign trade business operators engaging in the import and export of goods or technologies are not required to go through the aforementioned record filing and registration formalities any more from December 30, 2022.</w:t>
      </w:r>
    </w:p>
    <w:p>
      <w:pPr>
        <w:spacing w:after="0" w:line="14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Customs Law of the PRC promulgated by the SCNPC on January 22, 1987 which came into effect on July 1, 1987 and last amended on April 29, 2021, unless otherwise stipulated, the declaration of import and export goods may be made by consignees and consignors themselves, and such formalities may also be completed by their entrusted customs brokers that have registered with the Customs. The consignees and consignors for import or export of goods and the customs brokers engaged in customs declaration shall register with the Customs in accordance with the laws. Where Customs declaration business is engaged in without being filed with the Customs, the Customs shall impose a fine against the party concerned. Pursuant to the Administrative Provisions of the Customs of the PRC on the Filing of Customs Declaration Entities promulgated by the General Administration of Customs on November 19, 2021 which came into effect from January 1, 2022, the consignees and consignors for imported or exported goods and the customs brokers engaged in customs declarations shall undergo recordation formalities at the relevant administration department of customs in accordance with the 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Product Quality and Consumers Protection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PRC Product Quality Law, which was last amended on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personal injury or property damage, the aggrieved party may make a claim for compensation from the manufacturer or the seller of the product. Manufacturers and sellers of non-compliant products may be ordered to cease the production or sale of the products and could be subject to confiscation of the products and fines. Earnings from sales in violation of such standards or requirements may also be confiscated, and in severe cases, an offender’s business license may be revoked.</w:t>
      </w:r>
    </w:p>
    <w:p>
      <w:pPr>
        <w:spacing w:after="0" w:line="14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28, 2020, the National People’s Congress promulgated the Civil Code of the People’s Republic of China (the “PRC Civil Code”), which took effect on January 1, 2021. Under the PRC Civil Code, if a product is found to be defective and to compromise the personal and property security of others, the victim may require compensation to be made by the manufacturer or the seller of the product. Where any manufacturer or seller knowingly produces or sells defective products or fails to take effective remedial measures in accordance with the PRC Civil Code and thus causes death or serious damage to the health of another person, such person shall be entitled to claim punitive damages. If the transporter or storekeeper is responsible for the matter, the manufacturer or seller shall have the right to demand compensation for its losses.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Cybersecurity and Data Security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Cybersecurity Law of the PRC (the “PRC Cybersecurity Law”), promulgated by the SCNPC on November 7, 2016 and which came into effect on June 1, 2017 and last amended on October 28 , 2025 and took effect on January 1, 2026, network operators shall take all necessary measures in accordance with applicable laws, regulations and compulsory national requirements to safeguard the safe and stable operation of networks, respond to cybersecurity incidents effectively, prevent illegal and criminal activities, and maintain the integrity, confidentiality and usability of network data. The PRC Cybersecurity Law also stipulates that China adopts classified system for cybersecurity protection, under which network operators are required to fulfill relevant obligations of security protection to ensure that the network is free from interference, disruption or unauthorized access, and to prevent network data from being disclosed, stolen or tampered.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22, 2020, the Ministry of Public Security issued the Guiding Opinions on Implementing the Cybersecurity Protection System and Critical Information Infrastructure Security Protection System to further improve the national cybersecurity prevention and control system. On December 28, 2021, the CAC and several other government authorities published the Revised Cybersecurity Review Measures, which came into effect on February 15, 2022 and replaced the previous version. Pursuant to these measures, the purchase of network products and services by a critical information infrastructure operator or the data processing activities of a network platform operator that affect or may affect national security will be subject to a cybersecurity review. In addition, network platform operators with personal information of over one million users shall be subject to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Protection of Critical Information Infrastructures, which took effect on September 1, 2021 and provides that “critical information infrastructures” refer to any important network facilities or information systems of important industries or fields such as public communication and information service, energy, communications, water conservation, finance, public services, e-government affairs and national defense science, and any other important network facilities or information systems which may endanger national security, people’s livelihood and public interest in case of damage, function loss or data leakage.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competent governmental authorities shall notify the operators if such operators are determined as critical information infrastructure operators. On June 10, 2021, the SCNPC promulgated the Data Security Law of the PRC (the “PRC Data Security Law”) with effect from September 1, 2021. The PRC Data Security Law establishes a data classification and hierarchical protection system depending on the importance of the data in economic and social development, and the damage caused to national security, public interests, or the legitimate rights and interests of individuals and organizations if the data is falsified, damaged, disclosed, illegally obtained or illegally used.</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Security Assessment Measures for Cross-border Data Transfers with effect from September 1, 2022, a data processor shall declare security assessment for its outbound data transfer if: (i) where a data processor provides critical data abroad; (ii) where a critical information infrastructure operator or a data processor processing the personal information of more than one million individuals provides personal information abroad; (iii) where a data processor has provided personal information of 100,000 individuals or sensitive personal information of 10,000 individuals in total abroad since January 1 of the previous year; and (iv) any other circumstances prescribed by the CAC. Any failure to comply with such requirements may subject to, among others, suspension of services, fines, revoking relevant business permits or business licenses and penalties. On February 22, 2023, the CAC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and falling under any of the specified circumstance to file with the local counterpart of the CAC within ten business days from the effective date of the relevant standard contracts. On March 22, 2024, the CAC promulgated the Provisions on Promoting and Standardizing Cross-Border Data Transfer, which further set forth the circumstances that are exempted from, and thresholds for, performing the security assessment or filing procedures for cross-border data transfer under these measures. Furthermore, on October 14, 2025, the CAC and the SAMR jointly promulgated the Measures for the Certification of the Outbound Transfer of Personal Information which took effect on January 1, 2026 and outlines the requirements for personal information processors to conduct cross-border transfer of personal information by obtaining certification for outbound transfer of personal information from qualified certification entities.</w:t>
      </w:r>
    </w:p>
    <w:p>
      <w:pPr>
        <w:spacing w:after="0" w:line="19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September 24, 2024, the CAC promulgated the Regulations for the Administration of Network Data Security, which came into effect on January 1, 2025. The Regulations for the Administration of Network Data Security covers a wide range of internet data security issues, including the supervision and management of data security in the PRC, and apply to situations using networks to carry out data processing activities. The Regulations for the Administration of Network Data Security set out general guidelines covering subjects including protection of personal information, security of important data, security management of cross-border data transmission, obligations of internet platform operators, supervision and management, and legal liabilities of internet data security. The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also stipulate that data processors that engage in network data processing activities, which affect or may affect national security, shall conduct national security review in accordance with relevant laws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Privacy Protection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Civil Code of the PRC, issued by the National People’s Congress of the PRC on May 28, 2020 and effective from January 1, 2021, provides legal basis for privacy and personal information infringement claims under the Chinese civil laws.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Criminal Law of the PRC, as amended on December 29, 2023 and took effect on March 1, 2024, prohibits institutions, companies and their employees from selling or otherwise infringement of a citizen’s personal information obtained in performing duties or providing services or obtaining such information through theft or other illegal ways.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According to the PRC Cybersecurity Law, a network operator shall not collect personal information irrelevant to the services it provides or collect or use personal information in violation of the provisions of laws or agreements between both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Personal Information Protection Law of the PRC, which was promulgated by the SCNPC on August 20, 2021 and came into effect on November 1, 2021, personal information shall be handled in accordance with the principles of lawfulness, legitimacy, necessity and good faith, and it is not allowed to handle personal information by misleading, fraud, coercion or otherwise. It creates a range of compliance obligations and sets forth specific requirements on protection of electronic and non-electronic information which is related to identified or identifiable natural persons. Under the Personal Information Protection Law of the PRC, in case of any personal information processing, individual prior consent must be obtained except in other circumstances stipulated therein to the contrary. Further, any data processing activities in relation to sensitive personal information, including biometrics, religious beliefs, specific identities, medical health, financial accounts, whereabouts, personal information of teenagers under fourteen years old and other personal information once leaked or illegally used might easily lead to the infringement of personal dignity or harm of personal and property safety, are only allowed provided such activities are purpose-specified, highly necessary and strictly protected. Personal information processors who use personal information on automated decision-making must ensure the transparency of decision-making and the fairness and impartiality of the results and may not impose unreasonable differential treatment in terms of transaction prices and other transaction conditions. In addition, cross-border personal information transmission is restricted unless certain requirements in the Personal Information Protection Law have been satisfied, including security review organized by the national cyberspace department and other conditions specified by the laws, regulations and the national cyberspace department.</w:t>
      </w:r>
    </w:p>
    <w:p>
      <w:pPr>
        <w:spacing w:after="0" w:line="291" w:lineRule="exact"/>
        <w:rPr>
          <w:sz w:val="20"/>
          <w:szCs w:val="20"/>
          <w:color w:val="auto"/>
        </w:rPr>
      </w:pPr>
    </w:p>
    <w:p>
      <w:pPr>
        <w:ind w:right="41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Regulations on Construction Project, Environmental Protection, Work Safety and Fire Control </w:t>
      </w:r>
      <w:r>
        <w:rPr>
          <w:rFonts w:ascii="Times New Roman" w:cs="Times New Roman" w:eastAsia="Times New Roman" w:hAnsi="Times New Roman"/>
          <w:sz w:val="18"/>
          <w:szCs w:val="18"/>
          <w:i w:val="1"/>
          <w:iCs w:val="1"/>
          <w:color w:val="auto"/>
        </w:rPr>
        <w:t>Regulations on Construction Project</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Administrative Measures for the Approval and Filing of Enterprise Investment Projects promulgated by National Development and Reform Commission on March 8, 2017 and last amended on March 23, 2023 which took effect on May 1, 2023, any fixed-asset investment project invested and constructed in China shall be subject to the approval or filing procedures with the relevant bureaus of the Development and Reform Committee of China.</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Urban and Rural Planning Law of the People’s Republic of China as promulgated in 2007 and last amended in 2019, a License for the Planning of Construction Projects from the municipal planning authority should be obtained by constructor.</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constructor shall apply for a Construction Work Commencement License from the relevant construction authority in accordance with the Construction Law of the People’s Republic of China (the “PRC Construction Law”), which was promulgated by the SCNPC in 1997 and last amended in 2019, and the Regulations on Administration regarding Permission for Commencement of Construction Works promulgated by the Ministry of Construction in 1999 and last amended in 2021 by Ministry of Housing and Urban-Rural Development. In addition, pursuant to the PRC Construction Law and the Regulation on the Quality Management of Construction Projects promulgated by the State Council in 2000 and last amended in 2019, a construction project shall not be delivered before passing the acceptance examination.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Environmental Protection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SCNPC on December 26, 1989, and amended on April 24, 2014,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Environmental protection authorities impose various administrative penalties on persons or enterprises in violation of the Environmental Protection Law. Such penalties include warnings, fines, orders to rectify within a prescribed period, orders to cease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 orders to restrict or 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PRC Civil Code. In addition, environmental organizations may also bring lawsuits against any entity that discharges pollutants detrimental to the public welfare.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Regulation on Urban Drainage and Sewage Treatment promulgated by the State Council on December 2, 2013 and effective from January 1, 2014, any entity engaged in industry, construction, catering, medical and other activities that discharge sewage into urban drainage facilities shall apply to the competent departments for urban drainage for a permit to discharge sewage into the drainage pipe network.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Work Safety</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relevant construction safety laws and regulations, including the PRC Work Safety Law, which was promulgated by the SCNPC on June 29, 2002 and last amended on June 10, 2021, production and operating business entities must establish objectives and measures for work safety and improve the working conditions for workers in a planned and systematic way. A work safety protection scheme must also be set up to implement the work safety job responsibility system. In addition, production and operating business entities must arrange work safety training and provide their employees with protective equipment that meets the national or industrial standards.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Fire Control</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PRC Fire Safety Law, which was promulgated by the SCNPC on April 29, 1998, and last amended on April 29, 2021, and the Interim Provisions on Administration of Fire Control Design Review and Acceptance of Construction Project promulgated by the Ministry of Housing and Urban-Rural Development which was last amended on August 21, 2023 and became effective on December 30, 2023,the construction entity of a large-scale crowded venue (including the construction of a manufacturing plant whose size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five business days after passing the construction completion inspection and acceptance. If the construction entity fails to pass the fire safety inspection before such venue is put into use or fails to conform to the fire safety requirements after such inspection, it may be subject to (i) orders to suspend the construction of projects, use of such projects, or operation of relevant business, and (ii) a fine between RMB30,000 and RMB300,000.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Copyright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Copyright Law of the PRC (the “PRC Copyright Law”), which was promulgated by the SCNPC and last amended on November 11, 2020 with effect from June 1, 2021, creators of protected works enjoy personal and property rights with respect to publication, authorship, alteration, integrity, reproduction, distribution, lease, exhibition, performance, projection, broadcasting, dissemination via information network, production, adaptation, translation, compilation and related activities. Under the PRC Copyright Law, the term of protection for copyrighted software is 50 years. The Regulations on the Protection of the Right to Communicate Works to the Public over Information Networks, as most recently amended on January 30, 2013, provide specific rules on fair use, statutory license, and a safe harbor for use of copyrights and copyright management technology and specify the liabilities of various entities for violations, including copyright holders, libraries and internet service providers. The Computer Software Copyright Registration Measures, promulgated by the National Copyright Administration on February 20, 2002, regulate registrations of software copyrights, exclusive licensing contracts for software copyrights and assignment agreements. The National Copyright Administration administers software copyright registration and the Copyright Protection Center of China are designated as the software registration authority. The Copyright Protection Center of China grants registration certificates to the computer software copyrights applicants which meet the relevant requirements.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Trademark</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Trademark Law of the PRC, which was promulgated by the SCNPC and last amended on April 23, 2019 with effect from November 1, 2019, registered trademarks refer to trademarks that have been approved and registered by the Trademark Office of China National Intellectual Property Administration. Trademark registrants enjoy an exclusive right to use the trademark, which shall be protected by law. The initial effective term of a registered trademark is ten years and will be granted another ten-year effective term upon request after expiration of the first or any renewed ten-year term.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Patent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Patent Law of the PRC, which was promulgated by the SCNPC and last amended on October 17, 2020 with effect from June 1, 2021, after the grant of the patent right for an invention, utility model, or design, unless otherwise provided thereunder, no entity or individual may, without the authorization of the patent owner, infringe the patent. A patent is valid for a twenty-year term in the case of an invention, a fifteen-year term in the case of a design, and a ten-year term in the case of a utility model, starting from the application date.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Domain Name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Administrative Measures for Internet Domain Names, which were promulgated by the MIIT on August 24, 2017 with effect from November 1, 2017, the registration of domain names adopts the “first to file, first to register” principle and the registrant shall complete the registration via the domain name registration service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Labor Protection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Labor Law of the PRC, which was promulgated by the SCNPC on July 5, 1994 and most recently amended on December 29, 2018, an employer shall establish a comprehensive management system to safeguard the rights of its employees, including developing and improving its labor safety and health system, stringently implementing national protocols and standards on labor safety and health, conducting labor safety and health education for workers, guarding against labor accidents and reducing occupational hazards. An employer must provide employees with the necessary labor protection equipment that comply with labor safety and health conditions stipulated under national regulations, as well as provide regular check-ups for workers that engage in operations with occupational hazards.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Labor Contract Law of the PRC, which was promulgated by the SCNPC on June 29, 2007 and became effective on January 1, 2008, and was amended on December 28, 2012, and the Implementation Regulations on Labor Contract Law of the PRC, which were promulgated and became effective on September 18, 2008, regulate employer and employee relations and contain specific provisions on the terms of the labor contract. Labor contracts must be made in writing. An employer may legally terminate a labor contract and dismiss its employees after reaching agreement upon due negotiations with the employee or by fulfilling the statutory conditions. Employers in most cases are also required to provide severance payment to their employees after their employment relationships are terminated. In addition, if an employer intends to enforce a non-compete provision in an employment contract or non-competition agreement with an employee, it has to compensate the employee on a monthly basis during the term of the restriction period after the termination or expiry of the labor contract.</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Social Insurance Law of the PRC, the Interim Regulations on the Collection and Payment of Social Insurance Premiums, the Regulations on Work Injury Insurance, the Regulations on Unemployment Insurance, the Trial Measures on Employee Maternity Insurance of Enterprises, 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contribute to the plans in amounts equal to certain percentages of salaries, including bonuses and allowances, of the employees as specified by the local government from time to time at locations where they operate their businesses or where they are located. According to the Social Insurance Law, an employer that fails to make social insurance contributions may be ordered to rectify the noncompliance and pay the required contributions within a stipulated deadline, and may be subject to a late payment fine at a daily rate of 0.05% of the outstanding amount, accruing from the date when the social insurance contributions were due and a fine equal to one to three times the outstanding amount.</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Regulations on the Administration of Housing Provident Fund, which were promulgated by the State Council and last amended on March 24, 2019, employers are required to contribute to housing provident funds for the benefit of their employees. According to the Regulations on the Administration of Housing Fund, an enterprise that fails to make housing fund contributions may be ordered to rectify the noncompliance and pay the required contributions within a stipulated deadline; if the enterprise fails to rectify the noncompliance with the stipulated deadline, it may be made to a local court for compulsory enforcement. In addition, an enterprise that fails to undertake contribution registration of housing provident fund or fails to go through the formalities of opening housing provident fund accounts for its employees may be ordered to rectify the noncompliance within a stipulated deadline, where failing to rectify the noncompliance at the expiration of the time limit, it may be subject to a fine ranging from RMB10,000 or RMB50,000.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Enterprise Income Tax</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According to the Enterprise Income Tax Law of the PRC, which was promulgated by the SCNPC and last amended on December 29, 2018, and the Implementation Rules to the Enterprise Income Tax Law of the PRC, which were promulgated by the State Council and last amended on December 6, 2024, enterprises are classified as either resident enterprises or non-resident enterprises. The income tax rate for resident enterprises, including both domestic-invested and foreign-invested enterprises, shall typically be 25%. Non-resident enterprises which have not established agencies or offices in China, or which have established agencies or offices in China but whose income has no association with such agencies or offices shall pay enterprise income tax on its income deriving from inside China at the reduced rate of 10%.</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According to the Circular of Printing the Administrative Measures for Recognition of High-Tech Enterprises amended by the Ministry of Science and Technology, Ministry of Finance and State Taxation Administration on January 29, 2016 and came into effect since January 1, 2016, upon the accreditation of the qualification of High-tech enterprises, such enterprises may apply for the entitlement of the preferential enterprise income tax treatment since the current year beginning from the valid period approved by the accreditation. A high and new technology enterprise is entitled to a favorable statutory tax rate of 15% and such enterprise should keep all statutory required relevant materials in case of future inspection. This qualification is reassessed by relevant government authorities every three years.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According to the Announcement on Relevant Tax and Fee Policies to Further Support the Development of Small and Micro Enterprises and Individual Entrepreneurs which took effect on January 1, 2023, jointly issued by the Ministry of Finance and the State Taxation Administration, for the small and micro enterprises, the annual taxable income shall be deducted to 25% and the income tax shall be calculated at the rate of 20%. The above-mentioned small and micro enterprises refer to those enterprises that are engaged in industries not restricted or prohibited by the state and meet certain conditions, including annual taxable income not exceeding RMB3,000,000, number of employees not exceeding 300, and total assets not exceeding RMB50,000,000. The implementation period of this tax preferential policy ends on December 31, 2027.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Value-added Tax</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25, 2024, the SCNPC promulgated the Value-Added Tax Law of the People’s Republic of China, and on December 25, 2025, the State Council promulgated the Regulations for the Implementation of the PRC Value-added Tax Law, both of which took effect on January 1, 2026. The PRC Value-Added Tax Law and the Regulations for the Implementation of the PRC Value-added Tax Law replaced the previous Provisional Regulations on Value-added Tax and their implementing rules. According to the Value-Added Tax Law, the VAT rates applicable to general taxpayers are 13%, 9%, 6% and 0%, and the VAT rate for calculating and paying VAT using the simplified tax calculation method is 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 and Dividend Distribution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Foreign Exchange</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fundamental regulation governing foreign exchange in China is the Foreign Exchange Administration Rules of the PRC or the Foreign Exchange Administration Rules, promulgated by the State Council on January 29, 1996 and most recently amended on August 5, 2008. Under these rules, Renminbi is generally freely convertible for payments of current account items, such as trade and service-related foreign exchange transactions and dividend payments, but not freely convertible for capital account items, such as direct investment, loan or investment in securities outside China, unless a prior approval of the State Foreign Exchange Administration of the PRC, or the SAFE, or its local counterparts is obtained.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Circular of the State Administration of Foreign Exchange on Further Promoting the Reform of Foreign Exchange Administration and Improving the Examination of Authenticity and Compliance, which was promulgated by SAFE on January 26, 2017, a foreign-invested enterprise may pay dividends to its foreign direct investors through the financial institutions without the approval of SAFE; the bank shall check the relevant documents under the principle of authenticity.</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SAFE Circular 37, which was promulgated by SAFE on July 4, 2014 with effect from the same day, domestic residents shall register with the local branch of SAFE for foreign exchange registration of overseas investment before contributing the domestic and overseas lawful assets or interests into a special purpose vehicle (the “SPV”), and to update such registration in the event of any change of basic information of the registered SPV or major changes in the SPV’s capital, including increases and decreases of capital, share transfers, share swaps, mergers or divisions. The SPV is defined as an “offshore enterprise directly established or indirectly controlled by the domestic resident (including domestic institution and resident individual) with their legally owned assets and equity of the domestic enterprise, or legally owned offshore assets or equity, for the purpose of investment and financing”; “Round Trip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Investment” refers to “the direct investment activities carried out by a domestic resident directly or indirectly via a SPV, i.e., establishing a foreign-invested enterprise or project within the PRC through a new entity, merger or acquisition and other ways, while obtaining ownership, control, operation and management and other rights and interests.”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13, 2015, SAFE promulgated the Circular of the State Administration of Foreign Exchange on Further Simplifying and Improving the Direct Investment-related Foreign Exchange Administration Policies (the “SAFE Circular 13”), which came into effect on June 1, 2015. According to the SAFE Circular 13, the initial foreign exchange registration for establishing or taking control of a SPV by domestic residents can be conducted with a qualified bank, instead of a local branch of SAFE. The SAFE Circular 13 simplifies some procedures relating to foreign exchange for direct investments. On March 30, 2015, SAFE promulgated the Circular on Reforming of the Management Method of the Settlement of Foreign Currency Capital of Foreign-Invested Enterprises (the “SAFE Circular 19”), which came into effect from June 1, 2015. According to the SAFE Circular 19, the foreign exchange capital of foreign-invested enterprises shall be subject to the Discretional Foreign Exchange Settlement or the Discretional Foreign Exchange Settlement. The Discretional Foreign Exchange Settlement refers to the foreign exchange capital in the capital account of a foreign-invested enterprise for which the rights and interests of monetary contribution has been confirmed by the local branch of SAFE (or the book-entry registration of monetary contribution by the banks) can be settled at the banks based on the actual operational needs of the foreign-invested enterprise. Furthermore, the SAFE Circular 19 stipulates that the use of capital by foreign-invested enterprises shall follow the principles of authenticity and self-use within the business scope of enterprises.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9, 2016, SAFE promulgated the Circular on Reforming and Regulating Policies on the Control over Foreign Exchange Settlement of Capital Accounts (the “SAFE Circular 16”), which came into effect on the same day. Pursuant to the SAFE Circular 16, enterprises registered in the PRC may also convert their foreign debts from foreign currency to Renminbi on self-discretionary basis. The SAFE Circular 16 provides an integrated standard for conversion of foreign exchange under capital account items (including but not limited to foreign currency capital and foreign debts) on self-discretionary basis which applies to all enterprises registered in the PRC. The SAFE Circular 16 reiterates the principle that Renminbi converted from foreign currency-denominated capital of a company may not be directly or indirectly used for purposes beyond its business scope or prohibited by PRC laws.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October 23, 2019, SAFE issued the Circular on Further Promoting the Facilitation of Cross-border Trade and Investment (the “SAFE Circular 28”), which came into effect on the same day. The SAFE Circular 28 allows all foreign-invested enterprises to make equity investment in the PRC using their capital, with genuine investment projects and subject to compliance with the negative list. Following the SAFE Circular 28, SAFE, together with other competent PRC government authorities on relevant occasions, has successively issued a series of circulars and notices to deepen the reform of cross-border trade and investment foreign exchange management and promote facilitation. These policies mainly cover multiple aspects: permitting qualified high-tech, “professional, sophisticated, unique and new” and technology-based small and medium-sized enterprises in specified regions to borrow foreign debt on their own within a certain limit; restructuring asset realization account of capital accounts to the settlement account of capital accounts, enabling direct remittance of foreign exchange funds from an equity transfer received by a domestic equity transferor from domestic parties and overseas listing proceeds into such accounts with discretionary use by the accountholder; canceling registration requirements for domestic reinvestment by foreign-invested enterprises and narrowing the negative list for capital account income use; and regulating the overseas listing fund management of domestic enterprises, including registration requirements and fund use and remittance rules.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Dividend Distributions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principal laws, rule and regulations governing dividends distribution by companies in the PRC are the PRC Company Law, which applies to both domestic companies and foreign-invested companies, and the PRC Foreign Investment Law and its implementing rules, which apply to foreign-invested companies. Under these laws, regulations and rules, both domestic companies and foreign-invested companies in the PRC are required to set aside as general reserves at least 10% of their after-tax profit, until the cumulative amount of their reserves reaches 50% of their registered capital.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Stock Incentive Plans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2012, SAFE promulgated the Notice on Foreign Exchange Administration of PRC Residents Participating in Share Incentive Plans of Offshore Listed Companies (the “Stock Option Rules”). Under the Stock Option Rules and other relevant rules and regulations, domestic individuals, which means the PRC residents and non-PRC citizens residing in China for a continuous period of not less than one year, subject to a few exceptions, who participate in a stock incentive plan in an overseas publicly listed company are required to register with SAFE or its local branches and complete certain other procedures.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Participants of a stock incentive plan who are PRC residents must retain a qualified PRC agent, which could be a PRC subsidiary of the overseas publicly listed company or another qualified institution selected by the PRC subsidiary, to conduct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PRC agent is required to amend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Listing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promulgated the M&amp;A Rules, which took effect on September 8, 2006 and was amended on June 22, 2009. The M&amp;A Rules, among other things, requires offshore special purpose vehicles formed for overseas listing purposes through acquisitions of PRC domestic companies and controlled by PRC domestic enterprises or individuals to obtain the approval of the CSRC prior to the listing and trading of such special purpose vehicle’s securities on an overseas stock exchange. In September 2006, the CSRC published on its official website procedures regarding its approval of overseas listings by special purpose vehicles.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Overseas Listing Trial Measures, and relevant five guidelines on the application of Overseas Listing Trial Measures, effective on March 31, 2023. According to the Overseas Listing Trial Measures, companies in mainland China that seek to offer securities or list in overseas markets, either directly or indirectly, are required to fulfill the filing procedure with the CSRC. The Overseas Listing Trial Measures also provide that PRC domestic companies that have already directly or indirectly offered and listed securities in overseas markets shall fulfil their filing obligations and report relevant information to the CSRC within three working days after conducting a follow-on securities offering on the same overseas market, and follow the relevant reporting requirements within three working days upon the occurrence and public disclosure of any specified circumstances provided thereunder, including (i) change of control; (ii) investigations or sanctions imposed by overseas securities regulatory agencies or other relevant competent authorities; (iii) change of listing status or transfer of listing segment; (iv) voluntary or mandatory delisting. In addition, where the main business of an issuer undergoes material change after overseas offering and listing, and is therefore beyond the scope of business stated in the filing documents, such issuer shall follow the relevant reporting requirements within three working days after occurrence of the changes. For violations of these provisions or measures, the competent Chinese authorities may impose administrative regulatory measures, such as orders for correction, warnings, fines, and may pursue legal liability in accordance with law.</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24, 2023, the CSRC and several other Chinese authorities promulgated the Revised Confidentiality and Archives Administration Provisions, which came into effect on March 31, 2023. According to the Revised Confidentiality and Archives Administration Provisions, Chinese companies that directly or indirectly conduct overseas offerings or listings, shall strictly abide by the relevant laws and regulations on confidentiality when providing or publicly disclosing, either directly or through their overseas listed entities, documents and materials to securities services providers such as securities companies and accounting firms or overseas regulators in the process of their overseas offering or listing.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all of our significant subsidiaries, as “significant” is defined under Section 1-02 of Regulation S-X under the Securities Act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182880</wp:posOffset>
            </wp:positionV>
            <wp:extent cx="5323205" cy="2802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2320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3. Key Information—Transfer of Funds and Other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 and Equipment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Germany and the United States. Our sales center is located in Germany and our R&amp;D centers are located in Germany and the PRC. As of December 31, 2025, we leased our premises in Germany, the PRC and the United States with an aggregate floor area of approximately 4,276 square meters under operating lease agreements from independent third parties. We believe that our existing facilities are generally adequate to meet our current needs, but we expect to seek additional space as needed to accommodate future growth.</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plan to develop our U.S. Technical Headquarters to support the continued development of advanced capabilities across microgrid solutions, energy storage systems, and software platforms. This expansion is expected to begin in or around 2026, with the final scope and timeline to be determined, and will be financed through proceeds from our initial public offering and other funding sources. Upon completion, the expanded facility is expected to significantly enhance our engineering, product development, and software innovation capabilities, enabling us to better serve the evolving needs of the U.S. market. By strengthening our local technical infrastructure, we aim to accelerate innovation, improve system integration, and deliver more responsive, regionally optimized solutions. This initiative reflects our ongoing strategy to deepen our technological leadership and align with emerging opportunities in distributed energy and grid modernization.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 Key Information—Item 3.D. Risk Factors” and elsewhere in this annual report.</w:t>
      </w:r>
    </w:p>
    <w:p>
      <w:pPr>
        <w:spacing w:after="0" w:line="72"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includes discussion of certain of our key performance metrics for the periods indicated. See “Introduction” in this annual report for the definition of these metrics and a description of how they are calculated.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and results of operations are affected by the macroeconomic factors, including but not limited to overall economic growth rates globally, the penetration rate of EV chargers, regulatory, tax and geopolitical environments, the stability of our supply chain as well as costs of raw materials and components. Changes in any of these general factors may affect the sales of our products as well as our results of operations and financial condition. Besides these general factors, we believe the following specific factors may have a more direct impact and may continue to affect our operation and financial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 and commercialization of new products and services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introduction and commercialization of new products and services are important to our results of operations and financial condition. For example, the NZS and GridLink chargers are anticipated to serve as a critical cornerstone of our future financial performance, and the continued promotion of NZS and GridLink chargers is expected to exert a material impact on our financial performance. As of the date of this annual report, we have begun the commercial deployment of our NZS solution in Europe and Asia. We have also begun the commercial deployment of our GridLink solution in the United States and Europe. Customers of NZS solutions and GridLink solutions include EV manufacturers, global energy players and charge point operators. The release of innovative products, such as the NZS and GridLink chargers, is poised to provide us with entry to previously untapped markets and clienteles, thereby fostering potential growth in our future revenue streams.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of existing customers and expansion of new customers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capacity to sustain good business relationships with existing customers and attract new customers is crucial to our financial performance. We have formed business relationships and partnerships with global energy players. We expect to further enhance our relationships with existing customers and attract new customers with our expansive sales and marketing efforts, as well as our innovative products, such as NZS and GridLink.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Diverse revenue sources and additional revenue streams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multiple sources of revenue, which include the initial sales of products, and recurring revenue from accompanying services, including software system upgrades and hardware maintenance. As the number of installed chargers grows, we expect recurring revenue to account for an increasing portion of our total revenue. In addition, with the B2G function, our NZS and GridLink solutions have already begun generating revenue and are expected to continue contributing increased revenue going forward.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efficiency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attain operating efficiency, while scaling up our business, is critical to achieving profitability. We shall prioritize the optimization of our hiring plans and marketing activities to ensure long-term success without incurring excessive operating expenses that may have an adverse impact on our overall financial performance and profitability. Maintaining reasonable operating expenses is key to our success, and we shall continually strive to find the most efficient and cost-effective means of achieving our goals.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fluctuation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operations involve transactions denominated in different currencies. Consequently, fluctuations in foreign exchange rates could impact our financial performance. To achieve sustained financial success, managing foreign exchange risk is paramount for us. We shall remain vigilant in monitoring currency fluctuations and developing sound strategies to minimize the impact of such fluctuations on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derive our revenues from two sources, namely (i) product revenues; and (ii) service revenues. In 2023, 2024 and 2025, our revenues amounted to US$38.5 million, US$42.2 million and US$25.1 million, respectively. The following table sets forth a breakdown of our revenues, in absolute amounts and as percentages of total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72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2"/>
                <w:szCs w:val="12"/>
                <w:color w:val="auto"/>
              </w:rPr>
            </w:pPr>
          </w:p>
        </w:tc>
        <w:tc>
          <w:tcPr>
            <w:tcW w:w="1960" w:type="dxa"/>
            <w:vAlign w:val="bottom"/>
            <w:gridSpan w:val="6"/>
          </w:tcPr>
          <w:p>
            <w:pPr>
              <w:jc w:val="center"/>
              <w:ind w:left="10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12"/>
                <w:szCs w:val="12"/>
                <w:color w:val="auto"/>
              </w:rPr>
            </w:pPr>
          </w:p>
        </w:tc>
        <w:tc>
          <w:tcPr>
            <w:tcW w:w="196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spacing w:after="0"/>
              <w:rPr>
                <w:sz w:val="12"/>
                <w:szCs w:val="12"/>
                <w:color w:val="auto"/>
              </w:rPr>
            </w:pPr>
          </w:p>
        </w:tc>
        <w:tc>
          <w:tcPr>
            <w:tcW w:w="9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spacing w:after="0"/>
              <w:rPr>
                <w:sz w:val="12"/>
                <w:szCs w:val="12"/>
                <w:color w:val="auto"/>
              </w:rPr>
            </w:pPr>
          </w:p>
        </w:tc>
        <w:tc>
          <w:tcPr>
            <w:tcW w:w="94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spacing w:after="0"/>
              <w:rPr>
                <w:sz w:val="12"/>
                <w:szCs w:val="12"/>
                <w:color w:val="auto"/>
              </w:rPr>
            </w:pPr>
          </w:p>
        </w:tc>
        <w:tc>
          <w:tcPr>
            <w:tcW w:w="96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38,512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42,204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revenues</w:t>
      </w:r>
      <w:r>
        <w:rPr>
          <w:rFonts w:ascii="Times New Roman" w:cs="Times New Roman" w:eastAsia="Times New Roman" w:hAnsi="Times New Roman"/>
          <w:sz w:val="18"/>
          <w:szCs w:val="18"/>
          <w:color w:val="auto"/>
        </w:rPr>
        <w:t>. We generate revenues from the sales of our products. We typically recognize the revenue at a point in time when the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by customers. In 2023, 2024 and 2025, our product revenues amounted to US$38.1 million, US$41.5 million and US$24.0 million, respectively, representing 98.8%, 98.3% and 95.7% of our total revenues in the same periods, respectively. The year-over-year decrease in 2025 was mainly due to external policy dynamics, including trade policy turbulence and evolving renewable energy regulations. These factors led certain customers to temporarily delay procurement decisions, contributing to a softer order volume in 2025.</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Complementary to the initial sales of products, we also offer accompanying services throughout the entire life cycle,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software system upgrades and hardware maintenance. We start to charge our customers for the services after an inclusion period of one to three years following the sale. We typically recognize the revenue over the period of such services on a straight-line basis. In 2023, 2024 and 2025, most of our products sold were still within the inclusion period of one to three years following the sale. Our service revenues amounted to US$0.5 million, US$0.7 million and US$1.1 million in 2023, 2024 and 2025, respectively, representing 1.2%, 1.7% and 4.3% of our total revenues in the same periods, respectively. As the number of installed chargers grows, we expect recurring service revenues to account for an increasing portion of our total revenues in the long run.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4. Information on the Company—4.B. Business Overview—Our Solutions” for details about how we generate our revenues.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cost of revenues consists of the costs and expenses that are directly related to providing our products and services to our customers. These costs and expenses include (i) cost of products sold, (ii) shipping costs, (iii) share-based compensation, and (iv) others. In 2023, 2024 and 2025, our cost of revenues amounted to US$20.9 million, US$21.0 million and US$13.5 million, respectively, representing 54.4%, 49.7% and 53.8% of our revenues in the same periods, respectively. The following table sets forth our cost of revenues, in absolute amounts and as percentages of total revenues, for the periods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72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2"/>
                <w:szCs w:val="12"/>
                <w:color w:val="auto"/>
              </w:rPr>
            </w:pPr>
          </w:p>
        </w:tc>
        <w:tc>
          <w:tcPr>
            <w:tcW w:w="1960" w:type="dxa"/>
            <w:vAlign w:val="bottom"/>
            <w:gridSpan w:val="4"/>
          </w:tcPr>
          <w:p>
            <w:pPr>
              <w:jc w:val="center"/>
              <w:ind w:left="10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12"/>
                <w:szCs w:val="12"/>
                <w:color w:val="auto"/>
              </w:rPr>
            </w:pPr>
          </w:p>
        </w:tc>
        <w:tc>
          <w:tcPr>
            <w:tcW w:w="196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2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Shipping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w:t>
            </w:r>
          </w:p>
        </w:tc>
        <w:tc>
          <w:tcPr>
            <w:tcW w:w="1720" w:type="dxa"/>
            <w:vAlign w:val="bottom"/>
            <w:gridSpan w:val="3"/>
          </w:tcPr>
          <w:p>
            <w:pPr>
              <w:jc w:val="right"/>
              <w:ind w:right="5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6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4"/>
                <w:szCs w:val="24"/>
                <w:color w:val="auto"/>
                <w:vertAlign w:val="superscript"/>
              </w:rPr>
              <w:t>(1)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20,938</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20,981</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13,503</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Note:</w:t>
      </w:r>
    </w:p>
    <w:p>
      <w:pPr>
        <w:spacing w:after="0" w:line="131"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consist of warranty costs, write-downs of inventories and other costs.</w:t>
      </w:r>
    </w:p>
    <w:p>
      <w:pPr>
        <w:spacing w:after="0" w:line="19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cost of revenues to increase in absolute amount in line with our expansion of business and customer base growth, and to decrease as a percentage of our revenues in the long run through economies of scale and improvement of operating efficiency.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profit is equal to our total revenues less cost of revenues. Gross profit as a percentage of our total revenues is referred to as gross margin. In 2023, 2024 and 2025, our gross profit was US$17.6 million, US$21.2 million and US$11.6 million, respectively, and our gross margin was 45.6%, 50.3% and 46.2%,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selling and marketing expenses, research and development expenses, general and administrative expenses. In 2023, 2024 and 2025, our operating expenses amounted to US$24.5 million, US$33.3 million and US$44.3 million, respectively, representing 63.7%, 78.9% and 176.6% of our revenues in the same periods, respectively. The following table sets forth a breakdown of our operating expenses, in absolute amounts and as percentages of our total revenues,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188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2"/>
                <w:szCs w:val="12"/>
                <w:color w:val="auto"/>
              </w:rPr>
            </w:pPr>
          </w:p>
        </w:tc>
        <w:tc>
          <w:tcPr>
            <w:tcW w:w="190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1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4"/>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44,334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Selling and marketing expense</w:t>
      </w:r>
      <w:r>
        <w:rPr>
          <w:rFonts w:ascii="Times New Roman" w:cs="Times New Roman" w:eastAsia="Times New Roman" w:hAnsi="Times New Roman"/>
          <w:sz w:val="18"/>
          <w:szCs w:val="18"/>
          <w:color w:val="auto"/>
        </w:rPr>
        <w:t>s. Selling and marketing expenses consist of (i) staff cost in relation to selling and marketing activities, (ii) share-based compensation, and (iii) other selling and marketing expenses. In 2023, 2024 and 2025, our selling and marketing expenses amounted to US$6.4 million, US$10.3 million and US$10.7 million, respectively, representing 16.7%, 24.5% and 42.6% of our revenues in the same periods, respectively. The following table sets forth a breakdown of our selling and marketing expenses, in absolute amounts and as percentages of our total revenues,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188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2"/>
                <w:szCs w:val="12"/>
                <w:color w:val="auto"/>
              </w:rPr>
            </w:pPr>
          </w:p>
        </w:tc>
        <w:tc>
          <w:tcPr>
            <w:tcW w:w="190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and marketing expenses</w:t>
            </w:r>
          </w:p>
        </w:tc>
        <w:tc>
          <w:tcPr>
            <w:tcW w:w="11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4"/>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cost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4"/>
                <w:szCs w:val="24"/>
                <w:color w:val="auto"/>
                <w:vertAlign w:val="superscript"/>
              </w:rPr>
              <w:t>(1)</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-170815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Note:</w:t>
      </w:r>
    </w:p>
    <w:p>
      <w:pPr>
        <w:spacing w:after="0" w:line="144" w:lineRule="exact"/>
        <w:rPr>
          <w:sz w:val="20"/>
          <w:szCs w:val="20"/>
          <w:color w:val="auto"/>
        </w:rPr>
      </w:pPr>
    </w:p>
    <w:p>
      <w:pPr>
        <w:jc w:val="both"/>
        <w:ind w:left="520" w:hanging="512"/>
        <w:spacing w:after="0" w:line="281" w:lineRule="auto"/>
        <w:tabs>
          <w:tab w:leader="none" w:pos="520"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consist of consulting service fees, advertising costs and promotion expenses, business entertainment expenses, traveling expenses, rental and depreciation in relation to selling and marketing functions, and other expenses. C</w:t>
      </w:r>
      <w:r>
        <w:rPr>
          <w:rFonts w:ascii="Times New Roman" w:cs="Times New Roman" w:eastAsia="Times New Roman" w:hAnsi="Times New Roman"/>
          <w:sz w:val="16"/>
          <w:szCs w:val="16"/>
          <w:color w:val="000000"/>
        </w:rPr>
        <w:t>onsulting service fees mainly include a promotion service provided in 2025 amounting to</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US$1.8 million.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 xml:space="preserve">Research and development expenses. </w:t>
      </w:r>
      <w:r>
        <w:rPr>
          <w:rFonts w:ascii="Times New Roman" w:cs="Times New Roman" w:eastAsia="Times New Roman" w:hAnsi="Times New Roman"/>
          <w:sz w:val="18"/>
          <w:szCs w:val="18"/>
          <w:color w:val="231F20"/>
        </w:rPr>
        <w:t>Research and development expenses consist of (i) staff cost in relation to research and development activities,</w:t>
      </w:r>
    </w:p>
    <w:p>
      <w:pPr>
        <w:spacing w:after="0" w:line="29" w:lineRule="exact"/>
        <w:rPr>
          <w:sz w:val="20"/>
          <w:szCs w:val="20"/>
          <w:color w:val="auto"/>
        </w:rPr>
      </w:pPr>
    </w:p>
    <w:p>
      <w:pPr>
        <w:jc w:val="both"/>
        <w:ind w:firstLine="8"/>
        <w:spacing w:after="0" w:line="253" w:lineRule="auto"/>
        <w:tabs>
          <w:tab w:leader="none" w:pos="28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outsourcing development expense, (iii) share-based compensation, and (iv) other research and development expenses. In 2023, 2024 and 2025, our research and development expenses amounted to US$4.1 million, US$12.2 million </w:t>
      </w:r>
      <w:r>
        <w:rPr>
          <w:rFonts w:ascii="Times New Roman" w:cs="Times New Roman" w:eastAsia="Times New Roman" w:hAnsi="Times New Roman"/>
          <w:sz w:val="18"/>
          <w:szCs w:val="18"/>
          <w:color w:val="000000"/>
        </w:rPr>
        <w:t>and US$7.1 million</w:t>
      </w:r>
      <w:r>
        <w:rPr>
          <w:rFonts w:ascii="Times New Roman" w:cs="Times New Roman" w:eastAsia="Times New Roman" w:hAnsi="Times New Roman"/>
          <w:sz w:val="18"/>
          <w:szCs w:val="18"/>
          <w:color w:val="231F20"/>
        </w:rPr>
        <w:t>, respectively, representing 10.6%, 28.8% and 28.2% of our revenues in the same periods, respectively. The following table sets forth a breakdown of our research and development expenses, in absolute amounts and as percentages of our total revenues,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188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2"/>
                <w:szCs w:val="12"/>
                <w:color w:val="auto"/>
              </w:rPr>
            </w:pPr>
          </w:p>
        </w:tc>
        <w:tc>
          <w:tcPr>
            <w:tcW w:w="190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1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4"/>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cost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Outsourcing development expense</w:t>
            </w: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4"/>
                <w:szCs w:val="24"/>
                <w:color w:val="auto"/>
                <w:vertAlign w:val="superscript"/>
              </w:rPr>
              <w:t>(1)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12,159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7,071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296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-933450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-916305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-933450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-916305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-933450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-916305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-933450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-916305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-933450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-916305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231F20"/>
        </w:rPr>
        <w:t>Note:</w:t>
      </w:r>
    </w:p>
    <w:p>
      <w:pPr>
        <w:spacing w:after="0" w:line="131"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consist of certification expenses, testing expenses, and other expenses.</w:t>
      </w:r>
    </w:p>
    <w:p>
      <w:pPr>
        <w:spacing w:after="0" w:line="22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231F20"/>
        </w:rPr>
        <w:t xml:space="preserve">General and administrative expenses. </w:t>
      </w:r>
      <w:r>
        <w:rPr>
          <w:rFonts w:ascii="Times New Roman" w:cs="Times New Roman" w:eastAsia="Times New Roman" w:hAnsi="Times New Roman"/>
          <w:sz w:val="18"/>
          <w:szCs w:val="18"/>
          <w:color w:val="231F20"/>
        </w:rPr>
        <w:t>Our general and administrative expenses consist of (i) share-based compensation, (ii) staff cost in relation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general and administrative activities, (iii) professional expenses paid to professional consultants, (iv) foreign currency exchange loss (gain) resulting from the exchange difference in remeasuring foreign currencies to the functional currency as of the relevant dates, (v) losses of credit impairment, (vi) issuance cost of the convertible debts, and (vii) other general corporate expenses. In 2023, 2024 and 2025, our general and administrative expenses amounted to US$14.0 million, US$10.8 million </w:t>
      </w:r>
      <w:r>
        <w:rPr>
          <w:rFonts w:ascii="Times New Roman" w:cs="Times New Roman" w:eastAsia="Times New Roman" w:hAnsi="Times New Roman"/>
          <w:sz w:val="18"/>
          <w:szCs w:val="18"/>
          <w:color w:val="000000"/>
        </w:rPr>
        <w:t>and US$26.6 million</w:t>
      </w:r>
      <w:r>
        <w:rPr>
          <w:rFonts w:ascii="Times New Roman" w:cs="Times New Roman" w:eastAsia="Times New Roman" w:hAnsi="Times New Roman"/>
          <w:sz w:val="18"/>
          <w:szCs w:val="18"/>
          <w:color w:val="231F20"/>
        </w:rPr>
        <w:t>, respectively, representing 36.4%, 25.6% and 105.8% of our revenues in the same periods, respectively. The following table sets forth a breakdown of our general and administrative expenses, in absolute amounts and as percentages of our total revenues,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64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2"/>
                <w:szCs w:val="12"/>
                <w:color w:val="auto"/>
              </w:rPr>
            </w:pPr>
          </w:p>
        </w:tc>
        <w:tc>
          <w:tcPr>
            <w:tcW w:w="1820" w:type="dxa"/>
            <w:vAlign w:val="bottom"/>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4"/>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Staff cost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expenses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Losses of credit impairment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 of the convertible debts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(1,173)</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corporate expenses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-170815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-170815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We are incorporated in the Cayman Islands. Under the current laws of the Cayman Islands, we are not subject to income, corporation or capital gains tax in the Cayman Islands. In addition, our payment of dividends, if any, is not subject to withholding tax in the Cayman Islands.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subsidiaries in China are companies incorporated under PRC laws and, as such, are subject to PRC enterprise income tax on their taxable income in accordance with the relevant PRC income tax laws. Pursuant to the PRC EIT Law, which became effective on January 1, 2008 and last amended on December 29, 2018, a uniform 25% enterprise income tax rate is generally applicable to both foreign-invested enterprises and domestic enterprises, except where a special preferential rate applies. The enterprise income tax is calculated based on the entity’s global income as determined under PRC tax laws and accounting standards.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Our PRC subsidiaries are subject to VAT at a rate of 6% on the services we provide and 13% on goods sold. Our PRC subsidiaries are also subject to surcharges on VAT payments in accordance with PRC law.</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As a Cayman Islands company, we may receive dividends from our PRC subsidiary through Xcharge HK Limited.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SAT Circular 81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SAT issued Announcement of the State Taxation Administration on Issuing the Measures for Non-resident Taxpayers’ Enjoyment of Treaty Benefits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SAT Circular 35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became effective 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231F20"/>
        </w:rPr>
        <w:t>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Xcharge HK Limited may be able to benefit from the 5% withholding tax rate for the dividends it receives from its PRC subsidiary, if it satisfies the conditions prescribed under SAT Circular 81 and other relevant tax rules and regulations. However, according to SAT Circular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If XCHG Limited or any of our subsidiaries outside China were deemed to be a “resident enterprise” under the PRC EIT Law, it would be subject to enterprise income tax on its worldwide income at a rate of 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subsidiary in Germany is subject to German corporate income tax (Körperschaftsteuer) at a uniform rate of 15% plus the solidarity surcharge (Solidaritätszuschlag) of 5.5% thereon, resulting in a total tax rate of 15.825%. The current German corporate income tax rate shall be gradually reduced from 2028 onwards, from the current 15% to 14% in 2028, 13% in 2029, 12% in 2030, 11% in 2031, and 10% from 2032 onwards (in each case plus 5.5% solidarity surcharge on such tax).</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In addition, our German subsidiary is subject to trade tax (Gewerbesteuer) with respect to our taxable trade profit (Gewerbeertrag) from permanent establishments of our German subsidiary in Germany (inländische gewerbesteuerliche Betriebsstätten). Trade tax is generally based on the taxable income as determined for corporate income tax purposes taking into account, however, certain add-backs and deductions. The trade tax rate depends on the local municipalities in which we maintain our permanent establishments. Dividends received from other corporations and capital gains from the sale of shares in other corporations are treated in principle in the same manner for trade tax purposes as for corporate income tax purposes. However, dividends received from domestic and foreign corporations (i.e., EU or non-EU corporations) are effectively 95% exempt from trade tax only if we hold at least 15% of the registered share capital of the distributing corporation at the beginning of the relevant tax assessment period.</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The interest expenses of our German subsidiary are subject to the “interest barrier” (Zinsschranke) rules. When calculating taxable income of our German subsidiary, the interest barrier rules generally prevent our German subsidiary from deducting certain net interest expenses (including certain similar expenses) from our taxable income (i.e., the excess of interest expenses over interest income for a given fiscal year) to the extent such interest expenses exceed 30% of the current taxable EBITDA of the respective entity (taxable earnings adjusted for interest expense, interest income and certain depreciation/amortization and other reductions) if the net interest expense of our German subsidiary is equal to, or exceeds, €3 million (Freigrenze) and no other exceptions apply. Interest expenses that are not deductible in a given year may be carried forward to our subsequent fiscal years (interest carryforward) and will increase the interest expense in those subsequent years. EBITDA amounts that could not be utilized may, under certain conditions, be carried forward into future fiscal years. If such EBITDA carryforward is not used within five fiscal years it will be forfeited. An EBITDA carryforward that arose in an earlier year must be used before a carryforward that arose in a later year is used. For the purpose of trade tax, however, the deductibility of interest expenses is further restricted to the extent that the sum of interest expenses plus certain other trade tax add back items exceeds €200,000.00. In such cases, 25% of the interest expenses, to the extent they were deducted for corporate income tax purposes, are added back for purposes of the determination of the trade tax base.</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Tax-loss carryforwards can be fully offset against taxable income for corporate income tax and trade tax purposes up to an amount of €1 million of such income. If the taxable profit for the year or taxable profit subject to trade taxation exceeds this threshold, only up to 70% of the amount exceeding the threshold may be offset against tax-loss carryforwards. The remaining 30% is subject to tax (minimum taxation) (Mindestbesteuerung). The rules also provide for a tax carryback to the previous year with regard to corporate income tax up to an amount of €1 million. Unused tax-loss carryforwards may be generally carried forward indefinitely and used in subsequent assessment periods to be offset against future taxable income in accordance with this rule. Alternatively, tax losses can be carried back to previous years under certain conditions.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If more than 50% of the subscribed capital or voting rights in a corporation are directly or indirectly transferred to an acquirer (including parties related to the acquirer) within five years or if comparable circumstances (including a capital increase of the subscribed capital to the extent that it causes a change of the interest ratio in the capital of the corporation), all tax loss carryforwards and interest carryforwards are generally forfeited. A group of acquirers with aligned interests is also considered to be an acquirer for these purposes. In addition, any current annual losses incurred prior to the acquisition will not be deductible. The forfeiture of tax loss carryforward pursuant to the preceding rules does not apply to share transfers if the acquirer directly or indirectly holds a participation of 100% in the transferring entity, (ii) the transferor indirectly or directly holds a participation of 100% in the receiving entity, or (iii) the same individual or legal entity or commercial partnership directly or indirectly holds a participation of 100% in the transferring and the receiving entity.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Furthermore, tax loss carryforwards, unused current losses and interest carryforwards taxable in Germany will not expire to the extent that they are covered by built in gains taxable in Germany at the time of such acquisition.</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The full amount of a dividend distributed by our German subsidiary to us is generally subject to (final) German withholding tax at an aggregate rate of 26.375%. In case a tax treaty applies, the German withholding tax may not exceed the tax rate applicable to the treaty on the gross amount of the dividends received by us. The excess of the total withholding tax, including the solidarity surcharge (Solidaritätszuschlag) over the maximum rate of withholding tax permitted by an applicable tax treaty can be refunded to us, provided that the requirements under the applicable treaty are fulfilled. Further, such refund is subject to the German anti-avoidance treaty shopping rules. However, if and to the extent our German subsidiary pays dividends sourced out of a tax recognized contribution account (steuerliches Einlagekonto), such dividends may not be subject to withholding tax (including the solidarity surcharge).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Under the current U.S. federal corporate income tax law, our subsidiary in the United States is subject to 21% income tax on its taxable income generated from operations in the United States. Our subsidiary in the United States did not have any taxable income for all periods presented.</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On July 4, 2025, OBBBA was enacted, significantly amending U.S. federal tax law, including changes to international tax provisions, expensing of research and experimental expenditures, depreciation, and interest deduction rules. The company does not expect the OBBBA to have a material impact on its effective tax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our consolidated results of operations and as percentages of our total revenues for the periods indicated. This information should be read together with our consolidated financial statements and related notes included elsewhere in this annual report.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5"/>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(20,938)</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(13,503)</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17,574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(6,433)</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(10,343)</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(10,704)</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(4,061)</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(7,071)</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(14,025)</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(10,790)</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(26,559)</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(105.8)</w:t>
            </w:r>
          </w:p>
        </w:tc>
      </w:tr>
      <w:tr>
        <w:trPr>
          <w:trHeight w:val="20"/>
        </w:trPr>
        <w:tc>
          <w:tcPr>
            <w:tcW w:w="3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(24,519)</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(33,292)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(44,334)</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(176.6)</w:t>
            </w: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(6,518)</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(16.9)</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(12,031)</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(32,616)</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(8,084)</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(32,503)</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(129.5)</w:t>
            </w: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(8,084)</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(21.0)</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(11,941)</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(32,503)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(129.5)</w:t>
            </w: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(7,040)</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(32,585)</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-708025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-708025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-708025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-708025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-708025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0" w:lineRule="exact"/>
        <w:rPr>
          <w:sz w:val="20"/>
          <w:szCs w:val="20"/>
          <w:color w:val="auto"/>
        </w:rPr>
      </w:pPr>
    </w:p>
    <w:p>
      <w:pPr>
        <w:ind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2025 Compared to the Year Ended December 31, 2024 </w:t>
      </w:r>
      <w:r>
        <w:rPr>
          <w:rFonts w:ascii="Times New Roman" w:cs="Times New Roman" w:eastAsia="Times New Roman" w:hAnsi="Times New Roman"/>
          <w:sz w:val="18"/>
          <w:szCs w:val="18"/>
          <w:b w:val="1"/>
          <w:bCs w:val="1"/>
          <w:i w:val="1"/>
          <w:iCs w:val="1"/>
          <w:color w:val="auto"/>
        </w:rPr>
        <w:t>Revenues</w:t>
      </w: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Our revenues decreased by 40.5% from US$42.2 million in 2024 to </w:t>
      </w:r>
      <w:r>
        <w:rPr>
          <w:rFonts w:ascii="Times New Roman" w:cs="Times New Roman" w:eastAsia="Times New Roman" w:hAnsi="Times New Roman"/>
          <w:sz w:val="18"/>
          <w:szCs w:val="18"/>
          <w:color w:val="000000"/>
        </w:rPr>
        <w:t>US$25.1 million in 2025</w:t>
      </w:r>
      <w:r>
        <w:rPr>
          <w:rFonts w:ascii="Times New Roman" w:cs="Times New Roman" w:eastAsia="Times New Roman" w:hAnsi="Times New Roman"/>
          <w:sz w:val="18"/>
          <w:szCs w:val="18"/>
          <w:color w:val="231F20"/>
        </w:rPr>
        <w:t xml:space="preserve">, primarily driven by </w:t>
      </w:r>
      <w:r>
        <w:rPr>
          <w:rFonts w:ascii="Times New Roman" w:cs="Times New Roman" w:eastAsia="Times New Roman" w:hAnsi="Times New Roman"/>
          <w:sz w:val="18"/>
          <w:szCs w:val="18"/>
          <w:color w:val="000000"/>
        </w:rPr>
        <w:t>external policy dynamics,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trade policy turbulence and evolving renewable energy regulations. These factors led certain customers to temporarily delay procurement decisions, contributing to a softer order volume in 2025</w:t>
      </w:r>
      <w:r>
        <w:rPr>
          <w:rFonts w:ascii="Times New Roman" w:cs="Times New Roman" w:eastAsia="Times New Roman" w:hAnsi="Times New Roman"/>
          <w:sz w:val="18"/>
          <w:szCs w:val="18"/>
          <w:color w:val="231F20"/>
        </w:rPr>
        <w:t>.</w:t>
      </w: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Our revenues generated from sales of products decreased by 42.1% from US$41.5 million in 2024 to </w:t>
      </w:r>
      <w:r>
        <w:rPr>
          <w:rFonts w:ascii="Times New Roman" w:cs="Times New Roman" w:eastAsia="Times New Roman" w:hAnsi="Times New Roman"/>
          <w:sz w:val="18"/>
          <w:szCs w:val="18"/>
          <w:color w:val="000000"/>
        </w:rPr>
        <w:t>US$24.0 million in 2025</w:t>
      </w:r>
      <w:r>
        <w:rPr>
          <w:rFonts w:ascii="Times New Roman" w:cs="Times New Roman" w:eastAsia="Times New Roman" w:hAnsi="Times New Roman"/>
          <w:sz w:val="18"/>
          <w:szCs w:val="18"/>
          <w:color w:val="231F20"/>
        </w:rPr>
        <w:t xml:space="preserve">, mainly driven by </w:t>
      </w:r>
      <w:r>
        <w:rPr>
          <w:rFonts w:ascii="Times New Roman" w:cs="Times New Roman" w:eastAsia="Times New Roman" w:hAnsi="Times New Roman"/>
          <w:sz w:val="18"/>
          <w:szCs w:val="18"/>
          <w:color w:val="000000"/>
        </w:rPr>
        <w:t>external policy dynamics, including trade policy turbulence and evolving renewable energy regulations. These factors led certain customers to temporarily delay procurement decisions, contributing to a softer order volume in 2025</w:t>
      </w:r>
      <w:r>
        <w:rPr>
          <w:rFonts w:ascii="Times New Roman" w:cs="Times New Roman" w:eastAsia="Times New Roman" w:hAnsi="Times New Roman"/>
          <w:sz w:val="18"/>
          <w:szCs w:val="18"/>
          <w:color w:val="231F20"/>
        </w:rPr>
        <w:t>.</w:t>
      </w: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8"/>
          <w:szCs w:val="18"/>
          <w:color w:val="231F20"/>
        </w:rPr>
        <w:t xml:space="preserve">Our revenues generated from services were US$0.7 million and </w:t>
      </w:r>
      <w:r>
        <w:rPr>
          <w:rFonts w:ascii="Times New Roman" w:cs="Times New Roman" w:eastAsia="Times New Roman" w:hAnsi="Times New Roman"/>
          <w:sz w:val="18"/>
          <w:szCs w:val="18"/>
          <w:color w:val="000000"/>
        </w:rPr>
        <w:t>US$1.1 million</w:t>
      </w:r>
      <w:r>
        <w:rPr>
          <w:rFonts w:ascii="Times New Roman" w:cs="Times New Roman" w:eastAsia="Times New Roman" w:hAnsi="Times New Roman"/>
          <w:sz w:val="18"/>
          <w:szCs w:val="18"/>
          <w:color w:val="231F20"/>
        </w:rPr>
        <w:t xml:space="preserve"> in 2024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Our cost of revenues decreased by 35.6% from US$21.0 million in 2024 to US$13.5 million in 2025. </w:t>
      </w:r>
      <w:r>
        <w:rPr>
          <w:rFonts w:ascii="Times New Roman" w:cs="Times New Roman" w:eastAsia="Times New Roman" w:hAnsi="Times New Roman"/>
          <w:sz w:val="18"/>
          <w:szCs w:val="18"/>
          <w:color w:val="000000"/>
        </w:rPr>
        <w:t>The year-over-year decrease was largely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line with the decrease in revenue</w:t>
      </w:r>
      <w:r>
        <w:rPr>
          <w:rFonts w:ascii="Times New Roman" w:cs="Times New Roman" w:eastAsia="Times New Roman" w:hAnsi="Times New Roman"/>
          <w:sz w:val="18"/>
          <w:szCs w:val="18"/>
          <w:color w:val="231F2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As a result of the foregoing, our gross profit decreased by 45.4% from US$21.2 million in 2024 to US$11.6 million in 2025. </w:t>
      </w:r>
      <w:r>
        <w:rPr>
          <w:rFonts w:ascii="Times New Roman" w:cs="Times New Roman" w:eastAsia="Times New Roman" w:hAnsi="Times New Roman"/>
          <w:sz w:val="18"/>
          <w:szCs w:val="18"/>
          <w:color w:val="000000"/>
        </w:rPr>
        <w:t>The year-over-year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decrease in gross margin w</w:t>
      </w:r>
      <w:r>
        <w:rPr>
          <w:rFonts w:ascii="Times New Roman" w:cs="Times New Roman" w:eastAsia="Times New Roman" w:hAnsi="Times New Roman"/>
          <w:sz w:val="18"/>
          <w:szCs w:val="18"/>
          <w:color w:val="231F20"/>
        </w:rPr>
        <w:t>as mainly driven by the increased sales volume of relative spare parts, which have a lower margin than EV chargers.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Our operating expenses increased by 33.2% from US$33.3 million in 2024 to US$44.3 million in 2025, primarily reflecting the increases in our selling and marketing expenses and general and administrative expenses, </w:t>
      </w:r>
      <w:r>
        <w:rPr>
          <w:rFonts w:ascii="Times New Roman" w:cs="Times New Roman" w:eastAsia="Times New Roman" w:hAnsi="Times New Roman"/>
          <w:sz w:val="18"/>
          <w:szCs w:val="18"/>
          <w:color w:val="000000"/>
        </w:rPr>
        <w:t>partially offset by a decrease in research and development</w:t>
      </w:r>
      <w:r>
        <w:rPr>
          <w:rFonts w:ascii="Times New Roman" w:cs="Times New Roman" w:eastAsia="Times New Roman" w:hAnsi="Times New Roman"/>
          <w:sz w:val="18"/>
          <w:szCs w:val="18"/>
          <w:color w:val="231F2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Our selling and marketing expenses increased by 3.5% from US$10.3 million in 2024 to US$10.7 million in 2025. The increase was mainly attributable to </w:t>
      </w:r>
      <w:r>
        <w:rPr>
          <w:rFonts w:ascii="Times New Roman" w:cs="Times New Roman" w:eastAsia="Times New Roman" w:hAnsi="Times New Roman"/>
          <w:sz w:val="18"/>
          <w:szCs w:val="18"/>
          <w:color w:val="000000"/>
        </w:rPr>
        <w:t>the increase in expenses for product promotion, partially offset by share-based compensation. Our selling and marketing expenses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percentages of total revenues increased from 24.5% in 2024 t</w:t>
      </w:r>
      <w:r>
        <w:rPr>
          <w:rFonts w:ascii="Times New Roman" w:cs="Times New Roman" w:eastAsia="Times New Roman" w:hAnsi="Times New Roman"/>
          <w:sz w:val="18"/>
          <w:szCs w:val="18"/>
          <w:color w:val="231F20"/>
        </w:rPr>
        <w:t>o 42.6% in 2025, reflecting</w:t>
      </w:r>
      <w:r>
        <w:rPr>
          <w:rFonts w:ascii="Times New Roman" w:cs="Times New Roman" w:eastAsia="Times New Roman" w:hAnsi="Times New Roman"/>
          <w:sz w:val="18"/>
          <w:szCs w:val="18"/>
          <w:color w:val="000000"/>
        </w:rPr>
        <w:t xml:space="preserve"> the increase in expenses for product promotion</w:t>
      </w:r>
      <w:r>
        <w:rPr>
          <w:rFonts w:ascii="Times New Roman" w:cs="Times New Roman" w:eastAsia="Times New Roman" w:hAnsi="Times New Roman"/>
          <w:sz w:val="18"/>
          <w:szCs w:val="18"/>
          <w:color w:val="231F20"/>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Our research and development expenses decreased by 41.8% from US$12.2 million in 2024 to US$7.1 million in 2025. The decrease was mainly attributable to (i) the decrease in outsourcing development expense of US$4.0 million for the advanced charging system due to the gradual completion of this project, and (ii) the decrease in share-based compensation of US$2.0 million for key research and development employees. Despite the decrease in absolute amount, our research and development expenses as percentages of total revenue remained relatively stable, moving from 28.8% in 2024 to 28.2% in 2025, which indicates that we have continued to maintain our strategic commitment to research and development activities amid changes in revenue scale.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general and administrative expenses increased by 146.1% from US$10.8 million in 2024 to US$26.6 million in 2025, mainly attributable to the increase in share-based compensation of US$17.9 million for directors, executives, certain employees and non-employee consultants, p</w:t>
      </w:r>
      <w:r>
        <w:rPr>
          <w:rFonts w:ascii="Times New Roman" w:cs="Times New Roman" w:eastAsia="Times New Roman" w:hAnsi="Times New Roman"/>
          <w:sz w:val="18"/>
          <w:szCs w:val="18"/>
          <w:color w:val="000000"/>
        </w:rPr>
        <w:t>artially offset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foreign currency exchange loss (gain) and professional expenses</w:t>
      </w:r>
      <w:r>
        <w:rPr>
          <w:rFonts w:ascii="Times New Roman" w:cs="Times New Roman" w:eastAsia="Times New Roman" w:hAnsi="Times New Roman"/>
          <w:sz w:val="18"/>
          <w:szCs w:val="18"/>
          <w:color w:val="231F20"/>
        </w:rPr>
        <w:t>. Our general and administrative expenses as percentages of total revenues increased from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25.6% in 2024 to 105.8% in 2025, mainly resulting from the increase in the absolute amount in general and administrative expenses due to the aforementioned reasons.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Financial Instruments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Our changes in fair value of financial instruments </w:t>
      </w:r>
      <w:r>
        <w:rPr>
          <w:rFonts w:ascii="Times New Roman" w:cs="Times New Roman" w:eastAsia="Times New Roman" w:hAnsi="Times New Roman"/>
          <w:sz w:val="18"/>
          <w:szCs w:val="18"/>
          <w:color w:val="000000"/>
        </w:rPr>
        <w:t>changed from a loss of US$87.8 thousand in 2024 to a gain of US$127.9 thousand in 2025</w:t>
      </w:r>
      <w:r>
        <w:rPr>
          <w:rFonts w:ascii="Times New Roman" w:cs="Times New Roman" w:eastAsia="Times New Roman" w:hAnsi="Times New Roman"/>
          <w:sz w:val="18"/>
          <w:szCs w:val="18"/>
          <w:color w:val="231F20"/>
        </w:rPr>
        <w:t>, mainly due to the decreased fair value of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recorded interest expenses of US$0.2 million and US$0.2 million in 2024 and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recorded interest income of US$0.2 million and US$0.2 million in 2024 and 2025,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recorded nil income tax expense in 2024 and 2025,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As a result of the foregoing, we recorded net loss of US$32.5 million in 2025, as compared to net loss of US$11.9 million in 2024.</w:t>
      </w:r>
    </w:p>
    <w:p>
      <w:pPr>
        <w:spacing w:after="0" w:line="329" w:lineRule="exact"/>
        <w:rPr>
          <w:sz w:val="20"/>
          <w:szCs w:val="20"/>
          <w:color w:val="auto"/>
        </w:rPr>
      </w:pPr>
    </w:p>
    <w:p>
      <w:pPr>
        <w:ind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2024 Compared to the Year Ended December 31, 2023 </w:t>
      </w:r>
      <w:r>
        <w:rPr>
          <w:rFonts w:ascii="Times New Roman" w:cs="Times New Roman" w:eastAsia="Times New Roman" w:hAnsi="Times New Roman"/>
          <w:sz w:val="18"/>
          <w:szCs w:val="18"/>
          <w:b w:val="1"/>
          <w:bCs w:val="1"/>
          <w:i w:val="1"/>
          <w:iCs w:val="1"/>
          <w:color w:val="auto"/>
        </w:rPr>
        <w:t>Revenues</w:t>
      </w: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revenues increased by 9.6% from US$38.5 million in 2023 to US$42.2 million in 2024, primarily driven by the increase in revenues generated from sales of products.</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revenues generated from sales of products increased by 9.1% from US$38.1 million in 2023 to US$41.5 million in 2024, mainly driven by the increase in the sales revenue from DC chargers.</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revenues generated from services were US$0.5 million and US$0.7 million in 2023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cost of revenues increased by 0.2% from US$20.9 million in 2023 to US$21.0 million in 2024, growing at a much slower pace than our revenues, primarily benefiting from economies of scale and our enhanced cost control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a result of the foregoing, our gross profit increased by 20.8% from US$17.6 million in 2023 to US$21.2 million in 2024, which grew much faster than our business growth. Our overall gross margin increased from 45.6% in 2023 to 50.3% in 2024, benefiting from economies of scale and our enhanced cost control measures.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operating expenses increased by 35.8% from US$24.5 million in 2023 to US$33.3 million in 2024, primarily reflecting the increases in our selling and marketing expenses, research and development expenses and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selling and marketing expenses increased by 60.8% from US$6.4 million in 2023 to US$10.3 million in 2024. The increase was mainly attributable to (i) the increase in share based compensation of US$1.8 million for key selling and marketing employees, and (ii) the increase in staff cost of US$1.3 million, primarily due to the increased bonus resulting from improved selling performance and the growth of the team. Our selling and marketing expenses as percentages of total revenues increased from 16.7% in 2023 to 24.5% in 2024, reflecting our enhanced efforts in selling and marketing to press ahead with our global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research and development expenses increased by 199.4% from US$4.1 million in 2023 to US$12.2 million in 2024. The increase was mainly attributable to (i) the increase in outsourcing development expense of US$5.6 million to develop advanced charging system, and (ii) the increase in share based compensation of US$2.3 million for key research and development employees. Our research and development expenses as percentages of total revenue increased from 10.6% in 2023 to 28.8% in 2024, which was primarily driven by our enhanced investment in research and development.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general and administrative expenses decreased by 23.1% from US$14.0 million in 2023 to US$10.8 million in 2024, mainly attributable to (i) the decrease in share based compensation of US$5.1 million for directors, executives, certain employees and non-employee consultants, and (ii) the increase in foreign currency exchange loss of US$1.1 million, primarily due to the depreciation of the Euro relative to the RMB in 2024. Our general and administrative expenses as percentages of total revenues decreased from 36.4% in 2023 to 25.6% in 2024, mainly resulting from the decrease in the absolute amount in general and administrative expenses due to the aforementioned reasons.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Financial Instruments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changes in fair value of financial instruments decreased by 94.0% from US$1.5 million in 2023 to US$87.8 thousand in 2024, mainly due to the extinguishment of convertible debts.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recorded interest expenses of US$0.2 million and US$0.2 million in 2023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recorded interest income of US$0.2 million in 2024, as compared to US$0.1 million in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recorded nil income tax expense in 2023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As a result of the foregoing, we recorded net loss of US$11.9 million in 2024, as compared to net loss of US$8.1 million in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consider adjusted net income (loss), a non-GAAP financial measure as a supplemental measure to review and assess our operating performance. The presentation of this non-GAAP financial measure is not intended to be considered in isolation or as a substitute for the financial information prepared and presented in accordance with U.S. GAAP. We believe that the use of this non-GAAP measure facilitates investors’ assessment of our operating performance.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our operations. Further, this non-GAAP measure may differ from the non-GAAP information used by other companies, including peer companies, and therefore its comparability may be limited. We compensate for these limitations by reconciling this non-GAAP financial measures to the nearest U.S. GAAP performance measure, all of which should be considered when evaluating our performance.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encourage you to review our financial information in its entirety and not rely on a single financial measure.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(Loss)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We define adjusted net income (loss) as net income (loss) excluding share-based compensation, changes in fair value of financial instruments and gain on extinguishment of convertible debts.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following table reconciles our adjusted net income (loss) for the periods indicated to the most directly comparable financial measure calculated and presented in accordance with U.S. GAAP, which is net income (loss):</w:t>
      </w:r>
    </w:p>
    <w:p>
      <w:pPr>
        <w:spacing w:after="0" w:line="15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6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(8,084)</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(32,503)</w:t>
            </w: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debts</w:t>
            </w: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(11,689)</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-1079500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-1079500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Working Capital</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Our principal sources of liquidity have been cash generated from financing activities and operating activities. As of December 31, 2025, we had US$11.4 million in cash and cash equivalents. Our cash and cash equivalents are primarily denominated in Renminbi, Euros and US dollars, which amounted to US$1.8 million, US$3.4 million and US$6.2 million as of December 31, 2025, respectively. As of December 31, 2025, all of our cash and cash equivalents denominated in Renminbi are located in the PRC, while our cash and cash equivalents denominated in Euros and US dollars located in the PRC amounted to US$1.6 million and US$7.4 thousand, respectively, and those held outside the PRC amounted to US$1.8 million and US$6.1 million, respectively.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For details, see “Item 3. Key Information—3.D. Risk Factors—Risks Related to Regulations—Governmental control of currency conversion may limit our ability to utilize our revenues effectively and affect the value of your investment.” We do not believe that such restrictions on foreign exchange would have a material impact on the net assets and liquidity of our company or any of our subsidiaries. We believe that our current cash and anticipated cash flow from operations will be sufficient to meet our anticipated cash needs, including our cash needs for working capital and capital expenditures, for at least the next 12 months.</w:t>
      </w:r>
    </w:p>
    <w:p>
      <w:pPr>
        <w:spacing w:after="0" w:line="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On January 30, 2026, we entered into a sales agreement with A.G.P./Alliance Global Partners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Sales Agent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pursuant to which we may offer and sell, from time to time, our American depositary shares, each representing 40 Class A ordinary shares. Any such offers and sales would be made pursuant to our effective shelf registration statement on Form F-3 and prospectus supplement, relating to the offer and sale of up to an aggregate of US$12,800,000 in ADSs (the “ATM Program”). Under the sales agreement, the Sales Agent may sell the ADSs by any method permitted by law deemed to be an “at-the-market offering,” and is required to use commercially reasonable efforts consistent with its normal trading and sales practices. We are not obligated to sell any ADSs under the agreement. We intend to use any proceeds from such sales for working capital and general corporate purposes, including financing our research and development, operations and capital expenditures. </w:t>
      </w:r>
      <w:r>
        <w:rPr>
          <w:rFonts w:ascii="Times New Roman" w:cs="Times New Roman" w:eastAsia="Times New Roman" w:hAnsi="Times New Roman"/>
          <w:sz w:val="18"/>
          <w:szCs w:val="18"/>
          <w:color w:val="2B333D"/>
        </w:rPr>
        <w:t>As of March 31, 2026, we have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sold a nominal amount of ADSs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under the ATM Program for gross proceeds of approximately $25,000</w:t>
      </w:r>
      <w:r>
        <w:rPr>
          <w:rFonts w:ascii="Times New Roman" w:cs="Times New Roman" w:eastAsia="Times New Roman" w:hAnsi="Times New Roman"/>
          <w:sz w:val="18"/>
          <w:szCs w:val="18"/>
          <w:color w:val="2B333D"/>
        </w:rPr>
        <w:t>.</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are evaluating strategies to obtain additional funding for future operations. These strategies may include, but are not limited to, obtaining equity financing, issuing debt or entering into other financing arrangements. However, we may be unable to access future equity or debt financing when needed. As such, there can be no assurance that we will be able to obtain additional liquidity when needed or under acceptable terms, if at all.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presents our consolidated cash flow data for the periods indicated.</w:t>
      </w:r>
    </w:p>
    <w:p>
      <w:pPr>
        <w:spacing w:after="0" w:line="21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4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(5,576)</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(7,202)</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10,743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198"/>
        </w:trPr>
        <w:tc>
          <w:tcPr>
            <w:tcW w:w="7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(12,866)</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15,693</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-316865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Net cash used in operating activities was US$7.5 million in 2025. The difference between our net loss of US$32.5 million and the net cash used in operating activities was mainly due to (i) share-based compensation expenses of US$20.9 million in relation to the 15,517,965 ADSs we granted in 2025 under the 2023 Share Plan II and 2025 Share Plan and the amortization of the shares we granted in December 2024 under the 2023 Share Plan II, (ii) a decrease in accounts receivable of US$4.7 million, primarily attributable to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6" w:name="page67"/>
    <w:bookmarkEnd w:id="66"/>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measures to accelerate collection of payments, (iii) a decrease in prepayments and other assets of US$2.9 million, primarily attributable to </w:t>
      </w:r>
      <w:r>
        <w:rPr>
          <w:rFonts w:ascii="Times New Roman" w:cs="Times New Roman" w:eastAsia="Times New Roman" w:hAnsi="Times New Roman"/>
          <w:sz w:val="18"/>
          <w:szCs w:val="18"/>
          <w:color w:val="000000"/>
        </w:rPr>
        <w:t>less prepayments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vendors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partially offset by (i) </w:t>
      </w:r>
      <w:r>
        <w:rPr>
          <w:rFonts w:ascii="Times New Roman" w:cs="Times New Roman" w:eastAsia="Times New Roman" w:hAnsi="Times New Roman"/>
          <w:sz w:val="18"/>
          <w:szCs w:val="18"/>
          <w:color w:val="231F20"/>
        </w:rPr>
        <w:t>a decrease in accounts payable of US$2.1 million, primarily attributable to faster payment to suppliers, and (ii)</w:t>
      </w:r>
      <w:r>
        <w:rPr>
          <w:rFonts w:ascii="Times New Roman" w:cs="Times New Roman" w:eastAsia="Times New Roman" w:hAnsi="Times New Roman"/>
          <w:sz w:val="18"/>
          <w:szCs w:val="18"/>
          <w:color w:val="000000"/>
        </w:rPr>
        <w:t xml:space="preserve"> an increase in inventories of US$1.8 million, reflecting stockpiling in preparation for upcoming customer orders.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Net cash used in operating activities was US$7.2 million in 2024. The difference between our net loss of US$11.9 million and the net cash used in operating activities was mainly due to (i) share-based compensation expenses of US$7.0 million in relation to the 171,995,643 shares we granted in December 2024 under the 2023 Share Plan II, (ii) an increase in accounts payable of US$2.4 million, primarily attributable to our efforts in obtaining longer credit terms from suppliers and our business growth in general, and (iii) an increase in contract liabilities of US$2.0 million, primarily attributable to our business growth in general; partially offset by (i) an increase in prepayments and other current assets of US$4.7 million, primarily attributable to prepayment to service vendors, (ii) an increase in amounts due from related parties of US$1.3 million, and (iii) inventories of US$1.3 million, primarily attributable to the increased demand of our products.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Net cash used in operating activities was US$5.6 million in 2023. The difference between our net loss of US$8.0 million and the net cash used in operating activities was mainly due to (i) share-based compensation expenses of US$7.5 million in relation to the 150,000,000 shares we granted in August 2023 under the 2023 Share Plan, (ii) a loss in changes in fair value of financial instruments of US$1.5 million, mainly due to the issuance of convertible debts to certain investors in 2023 and the changes in fair value of these convertible debts, and (iii) an increase in accrued expenses and other current liabilities of US$1.6 million, primarily attributable to the increase in accrued payroll and social insurance due to the growth of the team and the increase in accrued service expenses to professional parties; partially offset by (i) an increase in accounts receivable of US$5.1 million, primarily attributable to our business growth in general, and (ii) a decrease in contract liabilities of US$1.5 million, primarily attributable to the satisfaction of our performance obligation under such contract liabilities in the ordinary course of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Net cash used in investing activities was US$1.5 million in 2025, which was primarily attributable to loans provided to third parties and </w:t>
      </w:r>
      <w:r>
        <w:rPr>
          <w:rFonts w:ascii="Times New Roman" w:cs="Times New Roman" w:eastAsia="Times New Roman" w:hAnsi="Times New Roman"/>
          <w:sz w:val="18"/>
          <w:szCs w:val="18"/>
          <w:color w:val="000000"/>
        </w:rPr>
        <w:t>cash paid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purchase of property and equipment and intangible assets</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Net cash used in investing activities was US$0.5 million in 2024, which was primarily attributable to cash paid for purchase of property and equipment and intangible assets.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Net cash provided by investing activities was US$2.3 million in 2023, which was primarily attributable to proceeds from collection of loans to a related party of a preference shareholder of US$2.9 million, partially offset by cash paid for purchase of property and equipment and intangible assets of US$0.5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Net cash provided by financing activities was US$4.3 million in 2025, which was primarily attributable to (i) </w:t>
      </w:r>
      <w:r>
        <w:rPr>
          <w:rFonts w:ascii="Times New Roman" w:cs="Times New Roman" w:eastAsia="Times New Roman" w:hAnsi="Times New Roman"/>
          <w:sz w:val="18"/>
          <w:szCs w:val="18"/>
          <w:color w:val="000000"/>
        </w:rPr>
        <w:t>repayment of short-term bank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borrowings of US$6.8 million, (ii) payment for initial public offering (“IPO”) costs and follow-on financing of US$1.8 million; partially offset by proceeds from short-term bank borrowings of US$4.2 million</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Net cash provided by financing activities was US$19.1 million in 2024, which was primarily attributable to (i) proceeds from sale of ordinary shares through public offering of US$19.1 million, (ii) proceeds from short-term bank borrowings of US$8.5 million, and (iii) cash received from the convertible debt holders of Beijing X-Charge Technology in connection with the conversion of convertible debts of US$7.0 million; partially offset by (i) repayment of short-term bank borrowings of US$7.3 million, (ii) cash paid to convertible debts holders of Beijing X-Charge Technology in connection with the conversion of convertible debts of US$7.0 million, and (iii) payments of initial public offering costs of US$1.9 million.</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Net cash provided by financing activities was US$10.7 million in 2023, which was primarily attributable to (i) proceeds from issuance of the convertible debts of US$11.1 million, and (ii) proceeds from short-term bank borrowings of US$6.3 million; partially offset by (i) repayment of short-term bank borrowings of US$4.6 million, and (ii) payments of initial public offering cost of US$1.5 million.</w:t>
      </w:r>
    </w:p>
    <w:p>
      <w:pPr>
        <w:spacing w:after="0" w:line="1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October 2020, X-Charge Technology entered into a loan agreement with SPD Silicon Valley Bank to borrow up to RMB10.0 million (US$1.4 million). In October 2020, in connection with the loan agreement, X-Charge Technology issued warrants to an affiliate of SPD Silicon Valley Bank to purchase 0.542% of X-Charge Technology’s equity interest at an exercise price at RMB2.0 million (US$0.3 million) in aggregate or purchase 8,786,150 ordinary shares of the company at the option of the holder of such warrants on a fully diluted basis. The warrants are exercisable upon issuance and expires in October 2027. The warrants have not been exercised as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231F20"/>
        </w:rPr>
        <w:t>December 31, 2025. See Note 11 to the Consolidated Financial Statements appended to this annual report for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material cash requirements as of December 31, 2025 primarily include our operating lease commitments, capital expenditures, and working capital requirements.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Our operating lease commitments consist of the commitments under the lease agreements for our office premises. We lease our office facilities under non-cancelable operating leases with various expiration dates. The majority of our operating lease commitments are related to our office lease agreements.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sets forth our contractual obligations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9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vMerge w:val="continue"/>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1,957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Note:</w:t>
      </w:r>
    </w:p>
    <w:p>
      <w:pPr>
        <w:spacing w:after="0" w:line="13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obligations under lease agreements for our office premises.</w:t>
      </w:r>
    </w:p>
    <w:p>
      <w:pPr>
        <w:spacing w:after="0" w:line="23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capital expenditures are incurred primarily in connection with purchase and improvement in property and equipment. We recorded capital expenditures of US$526 thousand, US$614 thousand and US$677 thousand in 2023, 2024 and 2025, respectively. We intend to fund our future capital expenditures with our existing cash balance and proceeds from our initial public offering and follow-on offering. We will continue to make capital expenditures to meet the expected growth of our business.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on June 20, 2023, X-Charge Technology entered into a convertible loan investment agreement with Shell Ventures Company Limited (“Shell Ventures”), where Shell Ventures provided X-Charge Technology a convertible loan in a total principal amount of RMB15,000,000 with a simple interest computed at a rate of 10% per annum. Pursuant to an adjustment agreement dated May 27, 2024, the loan was to become due and payable 180 days following the consummation of a qualified IPO (as defined in the Investors’ Rights Agreement). The Company’s IPO in September 2024, with proceeds of not less than US$20 million, constituted a qualified IPO, and accordingly the loan became due and payable on March 9, 2025. As of the date of this annual report, the loan has not been repaid and remains outstanding in the aggregate amount of RMB17.6 million (approximately US$2.5 million), including accrued interest. The outstanding principal amount has been accruing interest at a simple rate of 12% per annum since March 9, 2025 (the date of default) and will continue to do so until full repayment is made.</w:t>
      </w:r>
    </w:p>
    <w:p>
      <w:pPr>
        <w:spacing w:after="0" w:line="192" w:lineRule="exact"/>
        <w:rPr>
          <w:sz w:val="20"/>
          <w:szCs w:val="20"/>
          <w:color w:val="auto"/>
        </w:rPr>
      </w:pPr>
    </w:p>
    <w:p>
      <w:pPr>
        <w:jc w:val="both"/>
        <w:ind w:lef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detailed in Notes 8 and 9 to the consolidated financial statements appended to this annual report, on October 28, 2025, X-Charge Technology received a formal notice of arbitration from the China International Economic and Trade Arbitration Commission. The notice states that a claim was filed by Shell Ventures seeking repayment of the outstanding principal and interest totaling RMB16.71 million (equivalent to US$2.33 million), plus default interest accruing at an annual rate of 12% from March 10, 2025, as well as recovery of its legal fees and arbitration costs. The claim also demands joint and several liability from us, our German subsidiary, and our founders, Mr. Ding Rui and Mr. Hou Yifei. </w:t>
      </w:r>
      <w:r>
        <w:rPr>
          <w:rFonts w:ascii="Times New Roman" w:cs="Times New Roman" w:eastAsia="Times New Roman" w:hAnsi="Times New Roman"/>
          <w:sz w:val="18"/>
          <w:szCs w:val="18"/>
          <w:color w:val="231F20"/>
        </w:rPr>
        <w:t>In connection with this matter, as of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31, 2025, the Group had recognized a provision of RMB17.6 million (approximately US$2.5 million) for outstanding principal, accrued interest, and default interest accrued up to the balance sheet date, and had restricted cash of RMB16.9 million (approximately US$2.4 million) due to asset preservation measures on certain bank accounts. As of the date hereof, the arbitration is pending, and no hearing has been scheduled. The Group concluded that the ultimate outcome of this arbitration would not have a material adverse effect on the Group's results of operations, consolidated financial condition, or cash flows.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Other than those shown above, we did not have any significant capital and other commitments, long-term obligations, or guarantees as of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See “Item 3. Key Information—Holding Company Structure.”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Patents and Licenses, etc.</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have developed a plethora of proprietary technologies that differentiate us from our peers. For example, we have developed the advanced energy management system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EMS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which encompasses the full range of energy-related functions, including energy storage and B2G technology, integrating energy generation, conversion and bi-directional utilization in one system. In addition, EMS intelligently adapts to different charging scenarios and automatically adjusts the charging and discharging settings. We have obtained and maintained intellectual property protection for our products and technologies, which we believe is fundamental to our long-term success. Our R&amp;D focus remains on innovating and optimizing charging technology to maintain our competitive edge. We follow a market-oriented research and development approach to optimize our existing solutions and develop advanced solutions. See “Item 4. Information on the Company—4.B. Business Overview—Research and Development,” “Item 4. Information on the Company—4.B. Business Overview—Intellectual Property,” and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Item 5. Operating and Financial Review and Prospects—Key Components of Results of Operations— Operating Expenses—Research and Development Expenses.</w:t>
      </w:r>
      <w:r>
        <w:rPr>
          <w:rFonts w:ascii="Times New Roman" w:cs="Times New Roman" w:eastAsia="Times New Roman" w:hAnsi="Times New Roman"/>
          <w:sz w:val="18"/>
          <w:szCs w:val="18"/>
          <w:color w:val="000000"/>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prepare our consolidated financial statements in accordance with U.S. GAAP. In doing so, we have to make estimates and assumptions.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ordinary shares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Prior to the initial public offering, we have been a private company with no quoted market prices for our ordinary shares. We therefore needed to make estimates of the fair value of our ordinary shares at various dates for the following purpose:</w:t>
      </w:r>
    </w:p>
    <w:p>
      <w:pPr>
        <w:spacing w:after="0" w:line="54"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the fair value of our ordinary shares at the date of issuance of redeemable preference shares as one of the inputs into determining the intrinsic value of the beneficial conversion feature, if any;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the fair value of our financial liability at the issuance date and each period end.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the fair value of our share awards to our directors, executive officers and certain employees at the grant date.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the fair value of our convertible debts at the issuance date and each period end.</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determining the fair value of our ordinary shares, we applied the income approach based on our discounted future cash flow using our best estimate as of the valuation date. The determination of the fair value of our ordinary shares requires complex and subjective judgments to be made regarding our future financial and operating results, our unique business risks, the liquidity of our shares and our operating history and prospects at the time of valuation.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 option-pricing method was used to allocate equity value of our company to ordinary shares, taking into account the guidance prescribed by the AICPA Audit and Accounting Practice Aid. This method requires making estimates of the anticipated timing of a potential liquidity event, such as a sale of our company or an initial public offering, and estimates of the volatility of our equity securities. The anticipated timing is based on the plans of our board and management.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major assumptions used in calculating the fair value of our ordinary shares include: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Discount rate: The discount rate was based on the weighted average cost of capital, which was determined based on a consideration of the factors including risk-free rate, macroeconomic risk, comparative industry risk, market risk premium, geographic risk, company size and non-systemic risk factors.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Comparable companies: In deriving the WACCs, which are used as the discount rates under the income approach, certain publicly traded companies engaged in EV charger businesses were selected for reference as our guideline companies.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Discount for lack of marketability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DLOM</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DLOM was quantified by the Finnerty’s Average-Strike put options model. Under this option-pricing method, which assumed that the put option is struck at the average price of the stock before the privately held shares can be sold, the cost of the put option was considered as a basis to determine the DLOM.</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income approach involves applying appropriate WACCs to estimated cash flows that are based on our projected earnings and cash flows. However, the determination of the fair value of our ordinary shares requires complex and subjective judgments to be made, which will not be necessary once the ADSs begin trading.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6.DIRECTORS, SENIOR MANAGEMENT AND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directors and executive officers as of the date of this annual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820" w:type="dxa"/>
            <w:vAlign w:val="bottom"/>
            <w:tcBorders>
              <w:bottom w:val="single" w:sz="8" w:color="231F20"/>
            </w:tcBorders>
          </w:tcPr>
          <w:p>
            <w:pPr>
              <w:jc w:val="center"/>
              <w:ind w:left="1212"/>
              <w:spacing w:after="0"/>
              <w:rPr>
                <w:sz w:val="20"/>
                <w:szCs w:val="20"/>
                <w:color w:val="auto"/>
              </w:rPr>
            </w:pPr>
            <w:r>
              <w:rPr>
                <w:rFonts w:ascii="Times New Roman" w:cs="Times New Roman" w:eastAsia="Times New Roman" w:hAnsi="Times New Roman"/>
                <w:sz w:val="14"/>
                <w:szCs w:val="14"/>
                <w:b w:val="1"/>
                <w:bCs w:val="1"/>
                <w:color w:val="auto"/>
              </w:rPr>
              <w:t>Age</w:t>
            </w:r>
          </w:p>
        </w:tc>
        <w:tc>
          <w:tcPr>
            <w:tcW w:w="5960" w:type="dxa"/>
            <w:vAlign w:val="bottom"/>
            <w:tcBorders>
              <w:bottom w:val="single" w:sz="8" w:color="231F20"/>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Yifei Hou</w:t>
            </w:r>
          </w:p>
        </w:tc>
        <w:tc>
          <w:tcPr>
            <w:tcW w:w="1820" w:type="dxa"/>
            <w:vAlign w:val="bottom"/>
            <w:shd w:val="clear" w:color="auto" w:fill="CFF0FC"/>
          </w:tcPr>
          <w:p>
            <w:pPr>
              <w:jc w:val="center"/>
              <w:ind w:left="1192"/>
              <w:spacing w:after="0"/>
              <w:rPr>
                <w:sz w:val="20"/>
                <w:szCs w:val="20"/>
                <w:color w:val="auto"/>
              </w:rPr>
            </w:pPr>
            <w:r>
              <w:rPr>
                <w:rFonts w:ascii="Times New Roman" w:cs="Times New Roman" w:eastAsia="Times New Roman" w:hAnsi="Times New Roman"/>
                <w:sz w:val="18"/>
                <w:szCs w:val="18"/>
                <w:color w:val="auto"/>
                <w:w w:val="99"/>
              </w:rPr>
              <w:t>38</w:t>
            </w:r>
          </w:p>
        </w:tc>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Joel Adalberto Gallo</w:t>
            </w:r>
          </w:p>
        </w:tc>
        <w:tc>
          <w:tcPr>
            <w:tcW w:w="182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9"/>
              </w:rPr>
              <w:t>53</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Aatish V Patel</w:t>
            </w:r>
          </w:p>
        </w:tc>
        <w:tc>
          <w:tcPr>
            <w:tcW w:w="1820" w:type="dxa"/>
            <w:vAlign w:val="bottom"/>
            <w:shd w:val="clear" w:color="auto" w:fill="CFF0FC"/>
          </w:tcPr>
          <w:p>
            <w:pPr>
              <w:jc w:val="center"/>
              <w:ind w:left="1192"/>
              <w:spacing w:after="0"/>
              <w:rPr>
                <w:sz w:val="20"/>
                <w:szCs w:val="20"/>
                <w:color w:val="auto"/>
              </w:rPr>
            </w:pPr>
            <w:r>
              <w:rPr>
                <w:rFonts w:ascii="Times New Roman" w:cs="Times New Roman" w:eastAsia="Times New Roman" w:hAnsi="Times New Roman"/>
                <w:sz w:val="18"/>
                <w:szCs w:val="18"/>
                <w:color w:val="auto"/>
                <w:w w:val="99"/>
              </w:rPr>
              <w:t>30</w:t>
            </w:r>
          </w:p>
        </w:tc>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Alexander Jacob Urist</w:t>
            </w:r>
          </w:p>
        </w:tc>
        <w:tc>
          <w:tcPr>
            <w:tcW w:w="182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9"/>
              </w:rPr>
              <w:t>33</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Albina Iljasov</w:t>
            </w:r>
          </w:p>
        </w:tc>
        <w:tc>
          <w:tcPr>
            <w:tcW w:w="1820" w:type="dxa"/>
            <w:vAlign w:val="bottom"/>
            <w:shd w:val="clear" w:color="auto" w:fill="CFF0FC"/>
          </w:tcPr>
          <w:p>
            <w:pPr>
              <w:jc w:val="center"/>
              <w:ind w:left="1192"/>
              <w:spacing w:after="0"/>
              <w:rPr>
                <w:sz w:val="20"/>
                <w:szCs w:val="20"/>
                <w:color w:val="auto"/>
              </w:rPr>
            </w:pPr>
            <w:r>
              <w:rPr>
                <w:rFonts w:ascii="Times New Roman" w:cs="Times New Roman" w:eastAsia="Times New Roman" w:hAnsi="Times New Roman"/>
                <w:sz w:val="18"/>
                <w:szCs w:val="18"/>
                <w:color w:val="auto"/>
                <w:w w:val="99"/>
              </w:rPr>
              <w:t>36</w:t>
            </w:r>
          </w:p>
        </w:tc>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Head of Europe</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Javier Lázaro</w:t>
            </w:r>
          </w:p>
        </w:tc>
        <w:tc>
          <w:tcPr>
            <w:tcW w:w="182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9"/>
              </w:rPr>
              <w:t>35</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 of Sales Europe</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Rui Ding</w:t>
            </w:r>
          </w:p>
        </w:tc>
        <w:tc>
          <w:tcPr>
            <w:tcW w:w="1820" w:type="dxa"/>
            <w:vAlign w:val="bottom"/>
            <w:shd w:val="clear" w:color="auto" w:fill="CFF0FC"/>
          </w:tcPr>
          <w:p>
            <w:pPr>
              <w:jc w:val="center"/>
              <w:ind w:left="1192"/>
              <w:spacing w:after="0"/>
              <w:rPr>
                <w:sz w:val="20"/>
                <w:szCs w:val="20"/>
                <w:color w:val="auto"/>
              </w:rPr>
            </w:pPr>
            <w:r>
              <w:rPr>
                <w:rFonts w:ascii="Times New Roman" w:cs="Times New Roman" w:eastAsia="Times New Roman" w:hAnsi="Times New Roman"/>
                <w:sz w:val="18"/>
                <w:szCs w:val="18"/>
                <w:color w:val="auto"/>
                <w:w w:val="99"/>
              </w:rPr>
              <w:t>39</w:t>
            </w:r>
          </w:p>
        </w:tc>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Chairman, Chief Technology Officer</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Rodney James Huey</w:t>
            </w:r>
          </w:p>
        </w:tc>
        <w:tc>
          <w:tcPr>
            <w:tcW w:w="182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9"/>
              </w:rPr>
              <w:t>82</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Alberto Méndez Rebollo</w:t>
            </w:r>
          </w:p>
        </w:tc>
        <w:tc>
          <w:tcPr>
            <w:tcW w:w="1820" w:type="dxa"/>
            <w:vAlign w:val="bottom"/>
            <w:shd w:val="clear" w:color="auto" w:fill="CFF0FC"/>
          </w:tcPr>
          <w:p>
            <w:pPr>
              <w:jc w:val="center"/>
              <w:ind w:left="1192"/>
              <w:spacing w:after="0"/>
              <w:rPr>
                <w:sz w:val="20"/>
                <w:szCs w:val="20"/>
                <w:color w:val="auto"/>
              </w:rPr>
            </w:pPr>
            <w:r>
              <w:rPr>
                <w:rFonts w:ascii="Times New Roman" w:cs="Times New Roman" w:eastAsia="Times New Roman" w:hAnsi="Times New Roman"/>
                <w:sz w:val="18"/>
                <w:szCs w:val="18"/>
                <w:color w:val="auto"/>
                <w:w w:val="99"/>
              </w:rPr>
              <w:t>48</w:t>
            </w:r>
          </w:p>
        </w:tc>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6"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Yifei Hou </w:t>
      </w:r>
      <w:r>
        <w:rPr>
          <w:rFonts w:ascii="Times New Roman" w:cs="Times New Roman" w:eastAsia="Times New Roman" w:hAnsi="Times New Roman"/>
          <w:sz w:val="18"/>
          <w:szCs w:val="18"/>
          <w:color w:val="auto"/>
        </w:rPr>
        <w:t>has served as our director and chief executive officer since May 2015. From June 2014 to September 2015, Mr. Hou served as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at Tesla APAC. Mr. Hou graduated from the University of Toronto with a bachelor’s degree.</w:t>
      </w:r>
    </w:p>
    <w:p>
      <w:pPr>
        <w:spacing w:after="0" w:line="1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Joel Adalberto Gallo </w:t>
      </w:r>
      <w:r>
        <w:rPr>
          <w:rFonts w:ascii="Times New Roman" w:cs="Times New Roman" w:eastAsia="Times New Roman" w:hAnsi="Times New Roman"/>
          <w:sz w:val="18"/>
          <w:szCs w:val="18"/>
          <w:color w:val="auto"/>
        </w:rPr>
        <w:t>has served as our chief financial officer since September 2025. Prior to joining our company, Mr. Gallo served 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HD EDU from February 2023 to August 2025. Prior to that, he was the chief financial officer of CoinTiger from July 2022 to January 2023. Prior to that role, Mr. Gallo was the chief financial officer of ETAO International Group from March 2021 to May 2022, and the chief executive officer of Columbia China League Business Advisory Co. from November 2019 to February 2021. From April 2013 to October 2019, Mr. Gallo served as co-founder and principal of GLS Group LLC, responsible for providing management consulting services to financial sector firms. Mr. Gallo is an adjunct professor at New York University and Shanghai University of Finance and Economics. He received a B.A in finance from Binghamton University, a M.A. in international relations from Tufts University and an M.P.A. from Columbia University.</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Aatish V Patel </w:t>
      </w:r>
      <w:r>
        <w:rPr>
          <w:rFonts w:ascii="Times New Roman" w:cs="Times New Roman" w:eastAsia="Times New Roman" w:hAnsi="Times New Roman"/>
          <w:sz w:val="18"/>
          <w:szCs w:val="18"/>
          <w:color w:val="auto"/>
        </w:rPr>
        <w:t>joined our company in May 2022 and currently serves as our president responsible for our business operation and management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Prior to joining our company, Mr. Patel worked as an operations program manager at Desktop Metal from October 2021 to April 2022. From September 2021 to October 2021, Mr. Patel worked as a supply chain consultant at Deloitte. Prior to that, Mr. Patel worked at Formlabs Inc from October 2019 to August 2021, during which period he worked as a global sourcing engineer. From August 2018 to September 2019, Mr. Patel worked as a project engineer at Fellowes Brands. Mr. Patel holds a bachelor of science degree in mechanical engineering from New York University and a master of liberal arts degree in management from Harvard University.</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Alexander Jacob Urist </w:t>
      </w:r>
      <w:r>
        <w:rPr>
          <w:rFonts w:ascii="Times New Roman" w:cs="Times New Roman" w:eastAsia="Times New Roman" w:hAnsi="Times New Roman"/>
          <w:sz w:val="18"/>
          <w:szCs w:val="18"/>
          <w:color w:val="auto"/>
        </w:rPr>
        <w:t>joined our company in May 2022 and currently serves as our vice president responsible for the company</w:t>
      </w:r>
      <w:r>
        <w:rPr>
          <w:rFonts w:ascii="Times New Roman" w:cs="Times New Roman" w:eastAsia="Times New Roman" w:hAnsi="Times New Roman"/>
          <w:sz w:val="18"/>
          <w:szCs w:val="18"/>
          <w:color w:val="231F20"/>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our company, Mr. Urist worked as the head of business development at SupChina Inc. from September 2018 to May 2022. From October 2016 to September 2018, Mr. Urist worked as an associate in business development at Magellan Research Group. Prior to that, Mr. Urist worked at Ascension Capital Group from May 2015 to July 2016, during which period he worked as a director in transactions. Mr. Urist holds a bachelor of arts degree in mandarin and economics from Kenyon College.</w:t>
      </w:r>
    </w:p>
    <w:p>
      <w:pPr>
        <w:spacing w:after="0" w:line="183" w:lineRule="exact"/>
        <w:rPr>
          <w:sz w:val="20"/>
          <w:szCs w:val="20"/>
          <w:color w:val="auto"/>
        </w:rPr>
      </w:pPr>
    </w:p>
    <w:p>
      <w:pPr>
        <w:jc w:val="both"/>
        <w:ind w:lef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Albina Iljasov </w:t>
      </w:r>
      <w:r>
        <w:rPr>
          <w:rFonts w:ascii="Times New Roman" w:cs="Times New Roman" w:eastAsia="Times New Roman" w:hAnsi="Times New Roman"/>
          <w:sz w:val="18"/>
          <w:szCs w:val="18"/>
          <w:color w:val="auto"/>
        </w:rPr>
        <w:t>joined our company in September 2021 and currently serves as our head of Europe, responsible for business operations and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European market. Prior to this role, Ms. Iljasov served as head of sales and business development – Europe. Before joining our company, Ms. Iljasov worked as a business development manager for the DACH region at EVBox from February 2020 to September 2021. From May 2018 to February 2020, Ms. Iljasov worked in regional sales at E.ON Drive, the e-mobility unit of E.ON.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ind w:lef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Javier Lázaro </w:t>
      </w:r>
      <w:r>
        <w:rPr>
          <w:rFonts w:ascii="Times New Roman" w:cs="Times New Roman" w:eastAsia="Times New Roman" w:hAnsi="Times New Roman"/>
          <w:sz w:val="18"/>
          <w:szCs w:val="18"/>
          <w:color w:val="auto"/>
        </w:rPr>
        <w:t>joined our company in 2021 and currently serves as our Head of Sales Europe, responsible for driving commercial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across the European market. Prior to joining our company, Mr. Lázaro worked at EVBox from 2018 to 2021, during which period he served as Sales Manager for Southern Europe. From 2017 to 2018, Mr. Lázaro worked at Alstom, where he held the position of Bid Cost manager. Mr. Lázaro holds both a Bachelor of Science and a Master of Science degree in industrial engineering with a focus in economics and management from the Universidad Politécnica de Madrid.</w:t>
      </w:r>
    </w:p>
    <w:p>
      <w:pPr>
        <w:spacing w:after="0" w:line="18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Rui Ding </w:t>
      </w:r>
      <w:r>
        <w:rPr>
          <w:rFonts w:ascii="Times New Roman" w:cs="Times New Roman" w:eastAsia="Times New Roman" w:hAnsi="Times New Roman"/>
          <w:sz w:val="18"/>
          <w:szCs w:val="18"/>
          <w:color w:val="auto"/>
        </w:rPr>
        <w:t>has served as our director and our chief technology officer since May 2015. From November 2013 to September 2015, Mr. Ding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manager at Tesla APAC. Mr. Ding graduated from Beijing Jiaotong University and received his bachelor’s degree there.</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Rodney James Huey </w:t>
      </w:r>
      <w:r>
        <w:rPr>
          <w:rFonts w:ascii="Times New Roman" w:cs="Times New Roman" w:eastAsia="Times New Roman" w:hAnsi="Times New Roman"/>
          <w:sz w:val="18"/>
          <w:szCs w:val="18"/>
          <w:color w:val="auto"/>
        </w:rPr>
        <w:t>has served as our director since September 2024. Mr. Huey has served as chairman of FutureProof Financial Group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2019, and chairman of Actcelerate International Group Ltd (NSX: ACT) since 2017. Mr. Huey obtained his Bachelor’s degree of Science with Honours, and specialisation in Financial Services, from University of Manchester (U.K.).</w:t>
      </w:r>
    </w:p>
    <w:p>
      <w:pPr>
        <w:spacing w:after="0" w:line="17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Alberto Méndez Rebollo </w:t>
      </w:r>
      <w:r>
        <w:rPr>
          <w:rFonts w:ascii="Times New Roman" w:cs="Times New Roman" w:eastAsia="Times New Roman" w:hAnsi="Times New Roman"/>
          <w:sz w:val="18"/>
          <w:szCs w:val="18"/>
          <w:color w:val="auto"/>
        </w:rPr>
        <w:t>has served as our director since September 2024. Mr. Rebollo has served as chief executive officer of Plexigrid since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served as chief procurement officer of Vattenfall from 2015 to 2022. Mr. Rebollo also served as chair and board member in several subsidiaries of Vattenfall AB from 2010 to 2021. Mr. Rebollo obtained his bachelor’s degree from University of Oviedo.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US$1.0 million in cash to our executive officers, and we paid an aggregate of US$0.2 million cash compensation to our non-executive directors.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 For equity incentive grants to our directors and executive officers, see “—Share Incentive Plans.”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for cause at any time without advance notice in certain events. We may terminate an executive officer’s employment by giving a prior written notice or by paying certain compensation. An executive officer may terminate his or her employment at any time by giving a prior written notice.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Share Incentive Plan II</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adopted the 2023 Share Incentive Plan II (the “2023 Share Plan II”), in August 2023. The purposes and the terms of the 2023 Share Plan II were substantially the same as those of the 2023 Share Incentive Plan, as in effect prior to its termination effective as of March 9, 2026.</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2023 Share Plan II, the maximum aggregate number of ordinary shares we were authorized to issue pursuant to equity awards granted thereunder is 445,198,950. As of March 9, 2026, 347,515,344 of the share awards for the 445,198,950 ordinary shares have been granted and 6,454,200 ordinary shares have been forfeited pursuant to the 2023 Share Plan 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1" w:name="page72"/>
    <w:bookmarkEnd w:id="71"/>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Effective as of March 9, 2026, we terminated the 2023 Share Plan II and ceased making awards thereunder. All awards previously granted under the 2023 Share Plan II remain outstanding and continue to be governed by its terms and applicable award agreements.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2023 Share Plan II, as in effect prior to its termination effective as of March 9, 2026:</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The 2023 Share Plan II was administered by the board of directors of the company (the “Board”) or a person appointed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2023 Share Plan II permitted the awards of restricted share units.</w:t>
      </w:r>
    </w:p>
    <w:p>
      <w:pPr>
        <w:spacing w:after="0" w:line="2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Persons eligible to participate in the 2023 Share Plan II included (i) full-time employees of the company, its parents, subsidiaries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in or of which the company or a subsidiary holds a substantial economic interest or possesses the power to direct the management policies directly or indirectly (the “Group Member”), who were senior management or key employees as determined by the administrator of the 2023 Share Plan II; and (ii) directors and any person (other than an employee or a director) who was engaged by a Group Member to render consulting or advisory services to a Group Member, such as consultants.</w:t>
      </w:r>
    </w:p>
    <w:p>
      <w:pPr>
        <w:spacing w:after="0" w:line="17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of Awards. </w:t>
      </w:r>
      <w:r>
        <w:rPr>
          <w:rFonts w:ascii="Times New Roman" w:cs="Times New Roman" w:eastAsia="Times New Roman" w:hAnsi="Times New Roman"/>
          <w:sz w:val="18"/>
          <w:szCs w:val="18"/>
          <w:color w:val="auto"/>
        </w:rPr>
        <w:t>Each award under the 2023 Share Plan II was evidenced by award agreements that set forth the conditions and limitations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which may include the grant of awards, vesting schedule, termination, vesting procedures, and other terms of the awards.</w:t>
      </w:r>
    </w:p>
    <w:p>
      <w:pPr>
        <w:spacing w:after="0" w:line="1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Amendment and Termination. </w:t>
      </w:r>
      <w:r>
        <w:rPr>
          <w:rFonts w:ascii="Times New Roman" w:cs="Times New Roman" w:eastAsia="Times New Roman" w:hAnsi="Times New Roman"/>
          <w:sz w:val="18"/>
          <w:szCs w:val="18"/>
          <w:color w:val="auto"/>
        </w:rPr>
        <w:t>The 2023 Share Plan II was to remain in effect for a term of ten (10) years from the effective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had the authority to terminate, amend or modify the 2023 Share Plan II; provided, however, that (a) to the extent necessary and desirable to comply with applicable laws or stock exchange rules, the company shall obtain shareholder approval of any amendment in such a manner and to such a degree as required, and (b) shareholder approval was required for any amendment to the 2023 Share Plan II that (i) increased the number of shares available under the 2023 Share Plan II (other than any adjustment related to changes in capital structure), (ii) resulted in a material increase in benefits or a change in eligibility requirements. Except as provided in the 2023 Share Plan II or any award agreements, no amendment, modification, suspension or termination of the 2023 Share Plan II would, without the consent of the grantee, impair any rights or obligations under any award theretofore granted.</w:t>
      </w:r>
    </w:p>
    <w:p>
      <w:pPr>
        <w:spacing w:after="0" w:line="18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Unless otherwise determined by the administrator and so provided in the applicable award agreements, no awards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therein could be sold, pledged, assigned, transferred or disposed of in any manner other than by will or the laws of descent and distribution, or pursuant to domestic relations order, and were not subject to execution, attachment or similar process. In the event that the administrator in its sole and absolute discretion made an award transferable, the transferability was subject to all requirements under the applicable laws or stock exchange rules.</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Following a change in control, the Board may generally determine, (i) whether the remaining unvested awards could vest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period within which such awards shall vest, (ii) to cancel and exchange such awards for an amount of cash equal to the amount that could have been attained upon the vesting of such award, or (iii) to have outstanding awards assumed, converted or replaced by the surviving or successor entity, with appropriate adjustments. If the value of an award that is terminated in connection with a change in control is zero or negative at the time of such change in control, the Board may terminate an award without payment of consideration.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Effective as of March 9, 2026, we terminated the 2023 Share Plan II and ceased making awards thereunder. All awards previously granted under the 2023 Share Plan II remain outstanding and continue to be governed by its terms and applicable award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Incentive Plan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adopted the 2025 Share Incentive Plan (the “2025 Share Plan”) in April 2025. The purposes and the terms of the 2025 Share Plan were substantially the same as those of the 2023 Share Plan II, as in effect prior to its termination effective as of March 9, 2026.</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2025 Share Plan, the maximum aggregate number of ordinary shares we were authorized to issue pursuant to equity awards granted thereunder is 445,198,950. As of March 9, 2026, 445,198,950 of the share awards for the 445,198,950 ordinary shares have been granted pursuant to the 2025 Share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Effective as of March 9, 2026, we terminated the 2025 Share Plan and ceased making awards thereunder. All awards previously granted under the 2025 Share Plan remain outstanding and continue to be governed by its terms and applicable award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Share Incentive Plan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adopted the 2026 Share Incentive Plan II (the “2026 Share Plan”) in March 2026. The purposes and the terms of the 2026 Share Plan are substantially the same as those of the 2023 Share Plan II and the 2025 Share Plan, as in effect prior to their termination effective as of March 9, 2026.</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the 2026 Share Plan, the maximum aggregate number of ordinary shares we are authorized to issue pursuant to equity awards granted thereunder is 1,492,028,626. As of March 31, 2026, 1,600,000 of the share awards for the 1,492,028,626 ordinary shares have been granted pursuant to the 2026 Share Plan.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2025, the number of ordinary shares underlying RSUs granted during the year ended December 31, 2025 to our directors and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40" w:type="dxa"/>
            <w:vAlign w:val="bottom"/>
          </w:tcPr>
          <w:p>
            <w:pPr>
              <w:spacing w:after="0"/>
              <w:rPr>
                <w:sz w:val="13"/>
                <w:szCs w:val="13"/>
                <w:color w:val="auto"/>
              </w:rPr>
            </w:pP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Awards Granted</w:t>
            </w:r>
          </w:p>
        </w:tc>
        <w:tc>
          <w:tcPr>
            <w:tcW w:w="140" w:type="dxa"/>
            <w:vAlign w:val="bottom"/>
          </w:tcPr>
          <w:p>
            <w:pPr>
              <w:spacing w:after="0"/>
              <w:rPr>
                <w:sz w:val="15"/>
                <w:szCs w:val="15"/>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(US$ per share)</w:t>
            </w:r>
          </w:p>
        </w:tc>
        <w:tc>
          <w:tcPr>
            <w:tcW w:w="1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Yifei Hou</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335,962,107</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ind w:left="880"/>
              <w:spacing w:after="0" w:line="210" w:lineRule="exact"/>
              <w:rPr>
                <w:sz w:val="20"/>
                <w:szCs w:val="20"/>
                <w:color w:val="auto"/>
              </w:rPr>
            </w:pPr>
            <w:r>
              <w:rPr>
                <w:rFonts w:ascii="Times New Roman" w:cs="Times New Roman" w:eastAsia="Times New Roman" w:hAnsi="Times New Roman"/>
                <w:sz w:val="18"/>
                <w:szCs w:val="18"/>
                <w:color w:val="auto"/>
                <w:w w:val="88"/>
              </w:rPr>
              <w:t>N/A</w:t>
            </w:r>
            <w:r>
              <w:rPr>
                <w:rFonts w:ascii="Times New Roman" w:cs="Times New Roman" w:eastAsia="Times New Roman" w:hAnsi="Times New Roman"/>
                <w:sz w:val="24"/>
                <w:szCs w:val="24"/>
                <w:color w:val="auto"/>
                <w:w w:val="88"/>
                <w:vertAlign w:val="superscript"/>
              </w:rPr>
              <w:t>(1)</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2025</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Joel Adalberto Gallo</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40" w:type="dxa"/>
            <w:vAlign w:val="bottom"/>
          </w:tcPr>
          <w:p>
            <w:pPr>
              <w:spacing w:after="0"/>
              <w:rPr>
                <w:sz w:val="18"/>
                <w:szCs w:val="18"/>
                <w:color w:val="auto"/>
              </w:rPr>
            </w:pPr>
          </w:p>
        </w:tc>
        <w:tc>
          <w:tcPr>
            <w:tcW w:w="1340" w:type="dxa"/>
            <w:vAlign w:val="bottom"/>
          </w:tcPr>
          <w:p>
            <w:pPr>
              <w:ind w:left="880"/>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2025</w:t>
            </w:r>
          </w:p>
        </w:tc>
        <w:tc>
          <w:tcPr>
            <w:tcW w:w="140" w:type="dxa"/>
            <w:vAlign w:val="bottom"/>
          </w:tcPr>
          <w:p>
            <w:pPr>
              <w:spacing w:after="0"/>
              <w:rPr>
                <w:sz w:val="18"/>
                <w:szCs w:val="18"/>
                <w:color w:val="auto"/>
              </w:rPr>
            </w:pP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Aatish V Patel</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20,775,960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ind w:left="880"/>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2025</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Rui 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187,541,724</w:t>
            </w:r>
          </w:p>
        </w:tc>
        <w:tc>
          <w:tcPr>
            <w:tcW w:w="140" w:type="dxa"/>
            <w:vAlign w:val="bottom"/>
          </w:tcPr>
          <w:p>
            <w:pPr>
              <w:spacing w:after="0"/>
              <w:rPr>
                <w:sz w:val="24"/>
                <w:szCs w:val="24"/>
                <w:color w:val="auto"/>
              </w:rPr>
            </w:pPr>
          </w:p>
        </w:tc>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N/A</w:t>
            </w:r>
            <w:r>
              <w:rPr>
                <w:rFonts w:ascii="Times New Roman" w:cs="Times New Roman" w:eastAsia="Times New Roman" w:hAnsi="Times New Roman"/>
                <w:sz w:val="24"/>
                <w:szCs w:val="24"/>
                <w:color w:val="auto"/>
                <w:w w:val="88"/>
                <w:vertAlign w:val="superscript"/>
              </w:rPr>
              <w:t>(1)</w:t>
            </w: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2025</w:t>
            </w:r>
          </w:p>
        </w:tc>
        <w:tc>
          <w:tcPr>
            <w:tcW w:w="1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22"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price with respect to restricted share units held by such individual(s).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four directors, including two independent directors, namely Rodney James Huey and Alberto Méndez Rebollo.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practices” for certain corporate governance matters. Mr. Yifei Hou controls a majority of our total voting power, and as such, we are a “controlled company” as defined under the Nasdaq rules. For so long as we remain a controlled company under that definition, we are also permitted to elect to rely on certain exemptions from corporate governance rules. Currently, we do not utilize the exemptions available for controlled companies, but rely on the exemption available for foreign private issuers to follow our home country governance practices instead. We rely on the “home country practice” exemptions from the requirement that a majority of our board of directors must be independent directors, the requirement that the audit committee be composed of at least three members and the requirement that our board of directors have a compensation committee and nominating and corporate governance committee composed entirely of independent directors.</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our board of directors and have adopted a charter for each of the three committees. Each committee’s members and functions are described below.</w:t>
      </w:r>
    </w:p>
    <w:p>
      <w:pPr>
        <w:spacing w:after="0" w:line="22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Rodney James Huey and Alberto Méndez Rebollo, and is chaired by Rodney James Huey.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determined that Rodney James Huey and Alberto Méndez Rebollo satisfy the requirements of Rule 5605(c)(2) of the Listing Rules of the Nasdaq and meet the independence standards under Rule 10A-3 under the Securities Exchange Act of 1934, as amended. We have determined that Rodney James Huey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75" w:lineRule="exact"/>
        <w:rPr>
          <w:sz w:val="20"/>
          <w:szCs w:val="20"/>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termination, and oversight of the work of any accounting firm engaged for the purpose of preparing or issuing an audit report or performing other audit, review or attest services for the company (subject, if applicable, to shareholder ratification);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(including the fees and terms thereof) to be provided by the company’s independent auditor pursuant to pre-approval policies and procedures established by the committee;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the independent auditor its responsibilities under generally accepted auditing standards, reviewing and approving the planned scope and timing of the independent auditor’s annual audit plan(s) and discussing significant findings from the audit and any problems or difficulties encountered, including any restrictions on the scope of the auditor’s activities or on access to requested information, and any significant disagreements with management;</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 and presenting its conclusions with respect to the independent auditor to the full board on at least an annual basis;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for the company’s hiring of current or former employees of the independent auditor;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the performance, responsibilities, budget and staffing of the company’s internal audit function and reviewing and approving the internal audit plan;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the performance of the senior officer or officers responsible for the internal audit function of the company, and making recommendations to the board and management regarding the responsibilities, retention or termination of such officer or officers;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its own performance and reporting to the board on such evaluation;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the charter of the committee on an annual basis and recommending any proposed changes to the board;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 (as defined in Item 7 of Form 20-F), including, but not limited to, transactions between the company, on the one hand, and enterprises that directly or indirectly through one or more intermediaries, control or are controlled by, or are under common control with, the company, on the other hand.</w:t>
      </w:r>
    </w:p>
    <w:p>
      <w:pPr>
        <w:spacing w:after="0" w:line="17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Yifei Hou, Rui Ding and Alberto Méndez Rebollo and is chaired by Yifei Hou.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determined that Alberto Méndez Rebollo satisfies the “independence” requirements of Rule 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75"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chief executive officer and each of the company’s other executive officers;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company’s chief executive officer, periodically reviewing the company’s management succession planning, including policies for chief executive officer selection and succession in the event of the incapacitation, retirement or removal of the chief executive officer, and evaluations of, and development plans for, any potential successors to the chief executive officer;</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company’s executive compensation and benefits policies generally (subject, if applicable, to shareholder approval), including the review and recommendation of any incentive-compensation and equity-based plans of the company that are subject to board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board periodically;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its own performance and reporting to the board on such evaluation;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the charter of the committee on an annual basis and periodically recommending any proposed changes to the board for approval;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risks arising from the company’s employee compensation policies and practices and whether any such risks are reasonably likely to have a material adverse effect on the company.</w:t>
      </w:r>
    </w:p>
    <w:p>
      <w:pPr>
        <w:spacing w:after="0" w:line="1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Yifei Hou, Rui 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Alberto Méndez Rebollo, and is chaired by Alberto Mendez Rebollo. We have determined that Alberto Méndez Rebollo satisfies the “independence” requirements of Rule 5605(c)(2)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searches for and identifying qualified individuals for membership on the board;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criteria for board and board committee membership and recommending individuals for membership on the board and its committees;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leading the board in a self-evaluation to determine whether it and its committees are functioning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the evaluations prepared by each board committee of such committee’s performance and considering any recommendations for proposed changes to the board;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(including equity-based compensation) for the company’s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orientation and continuing education program for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board periodically;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its own performance and reporting to the board on such evaluation;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assessing the adequacy of the charter of the committee and recommending any proposed changes to the board for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memorandum and articles of association, the functions and powers of our board of directors include, among others, (i) directing the business and affairs of the company; (ii) adopting the corporate governance policies or initiatives of the company and determining on various corporate governance related matters; (iii) appointing any natural person or corporation to hold office in the company;</w:t>
      </w:r>
    </w:p>
    <w:p>
      <w:pPr>
        <w:spacing w:after="0" w:line="4" w:lineRule="exact"/>
        <w:rPr>
          <w:sz w:val="20"/>
          <w:szCs w:val="20"/>
          <w:color w:val="auto"/>
        </w:rPr>
      </w:pPr>
    </w:p>
    <w:p>
      <w:pPr>
        <w:jc w:val="both"/>
        <w:ind w:firstLine="8"/>
        <w:spacing w:after="0" w:line="255"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all the powers of the company to borrow money; (v) convening shareholders’ annual general meetings and reporting its work to shareholders at such meetings; and (iv) declaring dividends. In addition, in the event of a tie vote, the chairman of our board of directors has, in addition to his personal vote, the right to cast a tie-breaking vote.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Each director is not subject to a term of office and holds office until such time as his successor takes office or until the earlier of his death, resignation or removal from office by special resolution or the unanimous written resolution of all shareholders. A director will be removed from office automatically if, among other things, the director (i) dies, becomes bankrupt or makes any arrangement or composition with his creditors generally; (ii) is prohibited by any applicable law or rules of the Nasdaq from being a director; (iii) is found to be or becomes of unsound mind; or (vi) is removed from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office pursuant to any other provisions of our memorandum and articles of association, as amended and restated from time to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a total of 177 employees as of December 31, 2025. Our employees are primarily located in Germany, the United States and China. The following table sets forth the numbers of our employees categorized by function: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Employees</w:t>
            </w:r>
          </w:p>
        </w:tc>
      </w:tr>
      <w:tr>
        <w:trPr>
          <w:trHeight w:val="21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Sales and delivery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After-sales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our employees competitive compensation packages and an environment that encourages self-development and, as a result, we have generally been able to attract and retain qualified personnel and maintain a stable core management team.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employees. We have not experienced any significant labor disputes.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represented by labor unions.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3,261,147,362 ordinary shares outstanding as of March 31, 2026, including (i) 2,519,892,915 Class A ordinary shares issued and outstanding, which includes 340,000,000 Class A ordinary shares issued to the depositary as a reserve in relation to the ATM Program that are legally issued but are treated as escrowed shares; and (ii) 741,254,447 Class B ordinary shares. This amount excludes vested RSUs that were fully settleable and pending issuance. Each Class A ordinary share is entitled to one vote and each Class B ordinary share is entitled to ten votes.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Beneficially Owned as of March 31, 2026</w:t>
            </w: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36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22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32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 Ordinary Shares</w:t>
            </w: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360" w:type="dxa"/>
            <w:vAlign w:val="bottom"/>
            <w:gridSpan w:val="4"/>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320" w:type="dxa"/>
            <w:vAlign w:val="bottom"/>
            <w:gridSpan w:val="4"/>
            <w:vMerge w:val="continue"/>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980" w:type="dxa"/>
            <w:vAlign w:val="bottom"/>
            <w:tcBorders>
              <w:top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Borders>
              <w:top w:val="single" w:sz="8" w:color="auto"/>
            </w:tcBorders>
            <w:gridSpan w:val="2"/>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980" w:type="dxa"/>
            <w:vAlign w:val="bottom"/>
            <w:tcBorders>
              <w:top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20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Borders>
              <w:top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Yifei Hou</w:t>
            </w:r>
            <w:r>
              <w:rPr>
                <w:rFonts w:ascii="Times New Roman" w:cs="Times New Roman" w:eastAsia="Times New Roman" w:hAnsi="Times New Roman"/>
                <w:sz w:val="21"/>
                <w:szCs w:val="2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335,962,107</w:t>
            </w:r>
          </w:p>
        </w:tc>
        <w:tc>
          <w:tcPr>
            <w:tcW w:w="13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13.3%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296,417,032</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632,379,139</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Joel Adalberto Gallo</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Aatish V Patel</w:t>
            </w:r>
            <w:r>
              <w:rPr>
                <w:rFonts w:ascii="Times New Roman" w:cs="Times New Roman" w:eastAsia="Times New Roman" w:hAnsi="Times New Roman"/>
                <w:sz w:val="21"/>
                <w:szCs w:val="2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17,575,160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17,575,160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Alexander Jacob Urist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Albina Iljasov</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Javier Lázaro</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Rui Ding</w:t>
            </w:r>
            <w:r>
              <w:rPr>
                <w:rFonts w:ascii="Times New Roman" w:cs="Times New Roman" w:eastAsia="Times New Roman" w:hAnsi="Times New Roman"/>
                <w:sz w:val="21"/>
                <w:szCs w:val="21"/>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187,541,724</w:t>
            </w:r>
          </w:p>
        </w:tc>
        <w:tc>
          <w:tcPr>
            <w:tcW w:w="13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7.4%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444,837,415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632,379,139</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Rodney James Huey</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Alberto Méndez Rebollo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2,127,283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2,127,283</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 directors and executive officers as</w:t>
            </w: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1,292,569,96</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 group</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551,315,514</w:t>
            </w:r>
          </w:p>
        </w:tc>
        <w:tc>
          <w:tcPr>
            <w:tcW w:w="138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21.9%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741,254,447</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Yifei Hou</w:t>
            </w:r>
            <w:r>
              <w:rPr>
                <w:rFonts w:ascii="Times New Roman" w:cs="Times New Roman" w:eastAsia="Times New Roman" w:hAnsi="Times New Roman"/>
                <w:sz w:val="21"/>
                <w:szCs w:val="21"/>
                <w:color w:val="auto"/>
                <w:vertAlign w:val="superscript"/>
              </w:rPr>
              <w:t>(1)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335,962,107</w:t>
            </w:r>
          </w:p>
        </w:tc>
        <w:tc>
          <w:tcPr>
            <w:tcW w:w="138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13.3%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296,417,032</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632,379,139</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Rui Ding</w:t>
            </w:r>
            <w:r>
              <w:rPr>
                <w:rFonts w:ascii="Times New Roman" w:cs="Times New Roman" w:eastAsia="Times New Roman" w:hAnsi="Times New Roman"/>
                <w:sz w:val="21"/>
                <w:szCs w:val="21"/>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187,541,724</w:t>
            </w:r>
          </w:p>
        </w:tc>
        <w:tc>
          <w:tcPr>
            <w:tcW w:w="13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7.4%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444,837,415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632,379,139</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161"/>
        </w:trPr>
        <w:tc>
          <w:tcPr>
            <w:tcW w:w="31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Beijing Foreign Economic and Trade</w:t>
            </w: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Development Guidance Fund L.P.</w:t>
            </w:r>
            <w:r>
              <w:rPr>
                <w:rFonts w:ascii="Times New Roman" w:cs="Times New Roman" w:eastAsia="Times New Roman" w:hAnsi="Times New Roman"/>
                <w:sz w:val="21"/>
                <w:szCs w:val="21"/>
                <w:color w:val="auto"/>
                <w:vertAlign w:val="superscript"/>
              </w:rPr>
              <w:t>(4)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260,180,400</w:t>
            </w:r>
          </w:p>
        </w:tc>
        <w:tc>
          <w:tcPr>
            <w:tcW w:w="138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260,180,400</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GGV Entities </w:t>
            </w:r>
            <w:r>
              <w:rPr>
                <w:rFonts w:ascii="Times New Roman" w:cs="Times New Roman" w:eastAsia="Times New Roman" w:hAnsi="Times New Roman"/>
                <w:sz w:val="21"/>
                <w:szCs w:val="21"/>
                <w:color w:val="auto"/>
                <w:vertAlign w:val="superscript"/>
              </w:rPr>
              <w:t>(5)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259,035,600</w:t>
            </w:r>
          </w:p>
        </w:tc>
        <w:tc>
          <w:tcPr>
            <w:tcW w:w="13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10.3%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259,035,600</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Shell Ventures Company Limited</w:t>
            </w:r>
            <w:r>
              <w:rPr>
                <w:rFonts w:ascii="Times New Roman" w:cs="Times New Roman" w:eastAsia="Times New Roman" w:hAnsi="Times New Roman"/>
                <w:sz w:val="21"/>
                <w:szCs w:val="21"/>
                <w:color w:val="auto"/>
                <w:vertAlign w:val="superscript"/>
              </w:rPr>
              <w:t>(6)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198,442,800</w:t>
            </w:r>
          </w:p>
        </w:tc>
        <w:tc>
          <w:tcPr>
            <w:tcW w:w="138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7.9%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198,442,800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Zhen Partners Fund IV L.P.</w:t>
            </w:r>
            <w:r>
              <w:rPr>
                <w:rFonts w:ascii="Times New Roman" w:cs="Times New Roman" w:eastAsia="Times New Roman" w:hAnsi="Times New Roman"/>
                <w:sz w:val="21"/>
                <w:szCs w:val="21"/>
                <w:color w:val="auto"/>
                <w:vertAlign w:val="superscript"/>
              </w:rPr>
              <w:t>(7)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159,225,900</w:t>
            </w:r>
          </w:p>
        </w:tc>
        <w:tc>
          <w:tcPr>
            <w:tcW w:w="13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6.3%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159,225,900</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61"/>
        </w:trPr>
        <w:tc>
          <w:tcPr>
            <w:tcW w:w="31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Wuxi Shenqi Leye Private</w:t>
            </w: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Equity Funds Partnership L.P.</w:t>
            </w:r>
            <w:r>
              <w:rPr>
                <w:rFonts w:ascii="Times New Roman" w:cs="Times New Roman" w:eastAsia="Times New Roman" w:hAnsi="Times New Roman"/>
                <w:sz w:val="21"/>
                <w:szCs w:val="21"/>
                <w:color w:val="auto"/>
                <w:vertAlign w:val="superscript"/>
              </w:rPr>
              <w:t>(8)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126,135,217</w:t>
            </w:r>
          </w:p>
        </w:tc>
        <w:tc>
          <w:tcPr>
            <w:tcW w:w="138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5.0%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126,135,217</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 of our total outstanding shares.</w:t>
      </w:r>
    </w:p>
    <w:p>
      <w:pPr>
        <w:spacing w:after="0" w:line="127" w:lineRule="exact"/>
        <w:rPr>
          <w:sz w:val="20"/>
          <w:szCs w:val="20"/>
          <w:color w:val="auto"/>
        </w:rPr>
      </w:pPr>
    </w:p>
    <w:p>
      <w:pPr>
        <w:ind w:left="520" w:hanging="512"/>
        <w:spacing w:after="0" w:line="272" w:lineRule="auto"/>
        <w:tabs>
          <w:tab w:leader="none" w:pos="21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3,261,147,362, being the number of ordinary shares outstanding (consisting of 2,519,892,915 Class A ordinary shares, which includes 340,000,000 Class A ordinary shares issued to the depositary as a reserve in relation to the ATM Program that are legally issued but are treated as escrowed shares, and 741,254,447 Class B ordinary shares) as of March 31, 2026, and (ii) the number of ordinary shares underlying the share options held by such person or group that are exercisable within 60 days after the date of this annual report.</w:t>
      </w:r>
    </w:p>
    <w:p>
      <w:pPr>
        <w:spacing w:after="0" w:line="77" w:lineRule="exact"/>
        <w:rPr>
          <w:rFonts w:ascii="Times New Roman" w:cs="Times New Roman" w:eastAsia="Times New Roman" w:hAnsi="Times New Roman"/>
          <w:sz w:val="16"/>
          <w:szCs w:val="16"/>
          <w:color w:val="auto"/>
        </w:rPr>
      </w:pPr>
    </w:p>
    <w:p>
      <w:pPr>
        <w:ind w:left="520" w:right="20" w:hanging="512"/>
        <w:spacing w:after="0" w:line="298" w:lineRule="auto"/>
        <w:tabs>
          <w:tab w:leader="none" w:pos="29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Some of the Class A ordinary shares reported in this table may be represented by ADSs.</w:t>
      </w:r>
    </w:p>
    <w:p>
      <w:pPr>
        <w:spacing w:after="0" w:line="127" w:lineRule="exact"/>
        <w:rPr>
          <w:sz w:val="20"/>
          <w:szCs w:val="20"/>
          <w:color w:val="auto"/>
        </w:rPr>
      </w:pPr>
    </w:p>
    <w:p>
      <w:pPr>
        <w:ind w:left="520" w:hanging="512"/>
        <w:spacing w:after="0" w:line="275" w:lineRule="auto"/>
        <w:tabs>
          <w:tab w:leader="none" w:pos="24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Rui Ding and Yifei Hou is XCharge Europe GmbH, Heselstücken 18, 22453 Hamburg, Germany. The business address of Aatish V Patel and Alexander Jacob Urist is XCharge Energy USA Inc, 19121 Marketplace Avenue, Building 2-Suite 2-145, Kyle, TX 78640</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The business address of Rodney James Huey is Apt 507, 147 Ross Street, Forest Lodge, NSW 2037, Australia. The business address of Alberto Méndez Rebollo is Hässelby Strandväg 38, 16565, Stockholm, Sweden.</w:t>
      </w:r>
    </w:p>
    <w:p>
      <w:pPr>
        <w:spacing w:after="0" w:line="75" w:lineRule="exact"/>
        <w:rPr>
          <w:rFonts w:ascii="Times New Roman" w:cs="Times New Roman" w:eastAsia="Times New Roman" w:hAnsi="Times New Roman"/>
          <w:sz w:val="16"/>
          <w:szCs w:val="16"/>
          <w:color w:val="auto"/>
        </w:rPr>
      </w:pPr>
    </w:p>
    <w:p>
      <w:pPr>
        <w:jc w:val="both"/>
        <w:ind w:left="520" w:hanging="512"/>
        <w:spacing w:after="0" w:line="272" w:lineRule="auto"/>
        <w:tabs>
          <w:tab w:leader="none" w:pos="52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335,962,107 Class A ordinary shares held by Blooming Star Developments Limited, a company in which Mr. Yifei Hou beneficially owns 100% of the equity interests through the trust for which he acts as settlor and beneficiary, (ii) 236,230,500 Class B ordinary shares held by Future EV Limited, a limited liability company incorporated in British Virgin Islands, in which (1) Future Charge Limited, a wholly owned company of Mr. Yifei Hou, owns 1% of the equity interests, and (2) Blooming Star Developments Limited owns 99% of the equity interests; and (iii) 60,186,532 Class B ordinary shares held by Future Charge Limited, a wholly owned company of Mr. Yifei Hou. Each Class B ordinary share is convertible into one Class A ordinary share at any time by the holder thereof.</w:t>
      </w:r>
    </w:p>
    <w:p>
      <w:pPr>
        <w:spacing w:after="0" w:line="77" w:lineRule="exact"/>
        <w:rPr>
          <w:rFonts w:ascii="Times New Roman" w:cs="Times New Roman" w:eastAsia="Times New Roman" w:hAnsi="Times New Roman"/>
          <w:sz w:val="16"/>
          <w:szCs w:val="16"/>
          <w:color w:val="231F20"/>
        </w:rPr>
      </w:pPr>
    </w:p>
    <w:p>
      <w:pPr>
        <w:jc w:val="both"/>
        <w:ind w:left="520"/>
        <w:spacing w:after="0" w:line="271"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Future EV Limited, Future Charge Limited, Next EV Limited and Next Charge Limited entered into an acting-in-concert agreement in August 2023 (the “Acting-in-Concert Agreement”), pursuant to which the parties agreed to act in concert, as shareholders of XCHG Limited, in relation to all matters that require the decisions of the shareholders of XCHG Limited. If the parties are unable to reach unanimous consent with respect to the matters that require action in concert, a decision made by Future EV Limited shall be deemed to be a decision unanimously passed by the parties and shall be binding on the parties. Mr. Yifei Hou disclaims beneficial ownership of any securities held by Next EV Limited and Next Charge Limited.The registered address of each of Future EV Limited, Future Charge Limited, Next EV Limited and Next Charge Limited is ICS Corporate Services (BVI) Limited, Sea Meadow House, P.O. Box 116, Road Town, Tortola, British Virgin Islands.</w:t>
      </w:r>
    </w:p>
    <w:p>
      <w:pPr>
        <w:spacing w:after="0" w:line="76" w:lineRule="exact"/>
        <w:rPr>
          <w:rFonts w:ascii="Times New Roman" w:cs="Times New Roman" w:eastAsia="Times New Roman" w:hAnsi="Times New Roman"/>
          <w:sz w:val="16"/>
          <w:szCs w:val="16"/>
          <w:color w:val="231F20"/>
        </w:rPr>
      </w:pPr>
    </w:p>
    <w:p>
      <w:pPr>
        <w:ind w:left="520" w:hanging="512"/>
        <w:spacing w:after="0" w:line="298" w:lineRule="auto"/>
        <w:tabs>
          <w:tab w:leader="none" w:pos="52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6,232,800 Class A ordinary shares underlying vested RSUs that were fully settleable and pending issuance and (ii) 283,599 ADSs representing 11,342,360 Class A ordinary shares held by Mr. Aatish V Patel.</w:t>
      </w:r>
    </w:p>
    <w:p>
      <w:pPr>
        <w:spacing w:after="0" w:line="56" w:lineRule="exact"/>
        <w:rPr>
          <w:rFonts w:ascii="Times New Roman" w:cs="Times New Roman" w:eastAsia="Times New Roman" w:hAnsi="Times New Roman"/>
          <w:sz w:val="16"/>
          <w:szCs w:val="16"/>
          <w:color w:val="231F20"/>
        </w:rPr>
      </w:pPr>
    </w:p>
    <w:p>
      <w:pPr>
        <w:jc w:val="both"/>
        <w:ind w:left="520" w:hanging="512"/>
        <w:spacing w:after="0" w:line="275" w:lineRule="auto"/>
        <w:tabs>
          <w:tab w:leader="none" w:pos="52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187,541,724 Class A ordinary shares held by Alpha First International Limited, a company in which Mr. Rui Ding beneficially owns 100% of the equity interests through the trust for which he acts as the settlor and beneficiary, (ii) 419,970,000 Class B ordinary shares held by Next EV Limited, a limited liability company incorporated in British Virgin Island, in which (1) Next Charge Limited, a wholly owned company of Mr. Rui Ding, owns 1% of the equity interests, and (2) Alpha First International Limited owns 99% of the equity interests; and (ii)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7" w:name="page78"/>
    <w:bookmarkEnd w:id="77"/>
    <w:p>
      <w:pPr>
        <w:jc w:val="both"/>
        <w:ind w:left="520"/>
        <w:spacing w:after="0" w:line="298" w:lineRule="auto"/>
        <w:rPr>
          <w:sz w:val="20"/>
          <w:szCs w:val="20"/>
          <w:color w:val="auto"/>
        </w:rPr>
      </w:pPr>
      <w:r>
        <w:rPr>
          <w:rFonts w:ascii="Times New Roman" w:cs="Times New Roman" w:eastAsia="Times New Roman" w:hAnsi="Times New Roman"/>
          <w:sz w:val="16"/>
          <w:szCs w:val="16"/>
          <w:color w:val="auto"/>
        </w:rPr>
        <w:t>24,867,415 Class B ordinary shares held by Next Charge Limited, a wholly owned company of Mr. Rui Ding. Each Class B ordinary share is convertible into one Class A ordinary share at any time by the holder thereof.</w:t>
      </w:r>
    </w:p>
    <w:p>
      <w:pPr>
        <w:spacing w:after="0" w:line="151" w:lineRule="exact"/>
        <w:rPr>
          <w:sz w:val="20"/>
          <w:szCs w:val="20"/>
          <w:color w:val="auto"/>
        </w:rPr>
      </w:pPr>
    </w:p>
    <w:p>
      <w:pPr>
        <w:jc w:val="both"/>
        <w:ind w:left="520"/>
        <w:spacing w:after="0" w:line="271" w:lineRule="auto"/>
        <w:rPr>
          <w:sz w:val="20"/>
          <w:szCs w:val="20"/>
          <w:color w:val="auto"/>
        </w:rPr>
      </w:pPr>
      <w:r>
        <w:rPr>
          <w:rFonts w:ascii="Times New Roman" w:cs="Times New Roman" w:eastAsia="Times New Roman" w:hAnsi="Times New Roman"/>
          <w:sz w:val="16"/>
          <w:szCs w:val="16"/>
          <w:color w:val="auto"/>
        </w:rPr>
        <w:t>Future EV Limited, Future Charge Limited, Next EV Limited and Next Charge Limited entered into the Acting-in-Concert Agreement pursuant to which the parties agreed to act in concert, as shareholders of XCHG Limited, in relation to all matters that require the decisions of the shareholders of XCHG Limited. If the parties are unable to reach unanimous consent with respect to the matters that require action in concert, a decision made by Future EV Limited shall be deemed to be a decision unanimously passed by the parties and shall be binding on the parties. Mr. Rui Ding disclaims beneficial ownership of any securities held by Future EV Limited and Future Charge Limited. The registered address of each of Next EV Limited and Next Charge Limited is ICS Corporate Services (BVI) Limited, Sea Meadow House, P.O. Box 116, Road Town, Tortola, British Virgin Islands.</w:t>
      </w:r>
    </w:p>
    <w:p>
      <w:pPr>
        <w:spacing w:after="0" w:line="76" w:lineRule="exact"/>
        <w:rPr>
          <w:sz w:val="20"/>
          <w:szCs w:val="20"/>
          <w:color w:val="auto"/>
        </w:rPr>
      </w:pPr>
    </w:p>
    <w:p>
      <w:pPr>
        <w:jc w:val="both"/>
        <w:ind w:left="520" w:hanging="512"/>
        <w:spacing w:after="0" w:line="275" w:lineRule="auto"/>
        <w:tabs>
          <w:tab w:leader="none" w:pos="5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260,180,400 Class A ordinary shares held by Beijing Foreign Economic and Trade Development Guidance Fund L.P., a limited partnership incorporated in the PRC, which is controlled by Beijing Liuhe Fund Management Co., Ltd., its general partner. Beijing Liuhe Fund Management Co., Ltd. is ultimately wholly owned by Beijing Municipal People’s Government. The registered address of Beijing Foreign Economic and Trade Development Guidance Fund L.P. is Room 1505, Building A, 23 Baijiazhuang Dongli, Chaoyang District, Beijing, China.</w:t>
      </w:r>
    </w:p>
    <w:p>
      <w:pPr>
        <w:spacing w:after="0" w:line="74" w:lineRule="exact"/>
        <w:rPr>
          <w:rFonts w:ascii="Times New Roman" w:cs="Times New Roman" w:eastAsia="Times New Roman" w:hAnsi="Times New Roman"/>
          <w:sz w:val="16"/>
          <w:szCs w:val="16"/>
          <w:color w:val="231F20"/>
        </w:rPr>
      </w:pPr>
    </w:p>
    <w:p>
      <w:pPr>
        <w:jc w:val="both"/>
        <w:ind w:left="520" w:hanging="512"/>
        <w:spacing w:after="0" w:line="268" w:lineRule="auto"/>
        <w:tabs>
          <w:tab w:leader="none" w:pos="5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248,331,650 Class A ordinary shares held by GGV Discovery I, L.P. and (ii) 10,703,950 Class A ordinary shares held by GGV Capital VI Entrepreneurs Fund L.P. GGV Discovery I L.L.C. serves as the General Partner of GGV Discovery I, L.P. GGV Capital VI Entrepreneurs Fund L.L.C. serves as the General Partner of GGV Capital VI Entrepreneurs Fund L.P. Jixun Foo, Glenn Solomon, Jenny Hong Wei Lee, Jeffrey Gordon Richards and Hans Tung are Managing Directors of GGV Discovery I L.L.C. and GGV Capital VI Entrepreneurs Fund L.L.C. As such, Jixun Foo, Glenn Solomon, Jenny Hong Wei Lee, Jeffrey Gordon Richards and Hans Tung have shared power to direct the voting and disposition of the shares owned by GGV Discovery I, L.P. and GGV Capital VI Entrepreneurs Fund L.P., and may be deemed to have indirect beneficial ownership of the shares held by GGV Discovery I, L.P. and GGV Capital VI Entrepreneurs Fund L.P. Jixun Foo, Glenn Solomon, Jenny Hong Wei Lee, Jeffrey Gordon Richards and Hans Tung own no securities of us directly. The registered address of GGV Discovery I, L.P. and GGV Capital VI Entrepreneurs Fund L.P. is GGV Capital, 3000 Sand Hill Road, Suite 4-230, Menlo Park, California 94025, United States of America.</w:t>
      </w:r>
    </w:p>
    <w:p>
      <w:pPr>
        <w:spacing w:after="0" w:line="286" w:lineRule="exact"/>
        <w:rPr>
          <w:rFonts w:ascii="Times New Roman" w:cs="Times New Roman" w:eastAsia="Times New Roman" w:hAnsi="Times New Roman"/>
          <w:sz w:val="16"/>
          <w:szCs w:val="16"/>
          <w:color w:val="231F20"/>
        </w:rPr>
      </w:pPr>
    </w:p>
    <w:p>
      <w:pPr>
        <w:jc w:val="both"/>
        <w:ind w:left="520" w:hanging="512"/>
        <w:spacing w:after="0" w:line="261" w:lineRule="auto"/>
        <w:tabs>
          <w:tab w:leader="none" w:pos="5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198,442,800 Class A ordinary shares held by Shell Ventures Company Limited, a limited liability company incorporated in the PRC, which is ultimately wholly owned by Shell plc, a public limited company, organized in England and Wales. The registered address of Shell Ventures Company Limited is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Building 1, No. 818, Shenchang Road, Minhang District, Shanghai, China.</w:t>
      </w:r>
    </w:p>
    <w:p>
      <w:pPr>
        <w:spacing w:after="0" w:line="79" w:lineRule="exact"/>
        <w:rPr>
          <w:rFonts w:ascii="Times New Roman" w:cs="Times New Roman" w:eastAsia="Times New Roman" w:hAnsi="Times New Roman"/>
          <w:sz w:val="16"/>
          <w:szCs w:val="16"/>
          <w:color w:val="231F20"/>
        </w:rPr>
      </w:pPr>
    </w:p>
    <w:p>
      <w:pPr>
        <w:jc w:val="both"/>
        <w:ind w:left="520" w:hanging="512"/>
        <w:spacing w:after="0" w:line="275" w:lineRule="auto"/>
        <w:tabs>
          <w:tab w:leader="none" w:pos="5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159,225,900 Class A ordinary shares held by Zhen Partners Fund IV, L.P. The general partner of Zhen Partners Fund IV, L.P. is Zhen Partners Management (MTGP) IV, L.P., whose general partner is Zhen Partners Management (TTGP) IV, Ltd. Xu Xiao Ping, Wang Qiang, Anna Fang and Dai Yu Sen have shared voting power over Zhen Partners Management (TTGP) IV, Ltd. The registered address of Zhen Partners Fund IV L.P. is P.O. Box 10008, Willow House, Cricket Square. Grand Cayman KY1-1001, Cayman Islands.</w:t>
      </w:r>
    </w:p>
    <w:p>
      <w:pPr>
        <w:spacing w:after="0" w:line="74" w:lineRule="exact"/>
        <w:rPr>
          <w:rFonts w:ascii="Times New Roman" w:cs="Times New Roman" w:eastAsia="Times New Roman" w:hAnsi="Times New Roman"/>
          <w:sz w:val="16"/>
          <w:szCs w:val="16"/>
          <w:color w:val="231F20"/>
        </w:rPr>
      </w:pPr>
    </w:p>
    <w:p>
      <w:pPr>
        <w:jc w:val="both"/>
        <w:ind w:left="520" w:hanging="512"/>
        <w:spacing w:after="0" w:line="275" w:lineRule="auto"/>
        <w:tabs>
          <w:tab w:leader="none" w:pos="5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126,135,217 Class A ordinary shares held by Wuxi Shenqi Leye Private Equity Funds Partnership L.P., a limited partnership incorporated in the PRC, which is controlled by Wuxi Shenqi Yongcheng Private Equity Funds Partnership L.P., its general partner. Wuxi Shenqi Yongcheng Private Equity Funds Partnership L.P. is ultimately controlled by Ning Yang. The registered address of Wuxi Shenqi Leye Private Equity Funds Partnership L.P. is Room 1922-2, North, No. 5 Zhizhi Road, Huishan Economic Development Zone, Wuxi, China.</w:t>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to our knowledge, 580,296,320 of our Class A ordinary shares were held by one record holder in the United States, which is the depositary of our ADS program. This includes 8,500,000 ADSs (representing 340,000,000 Class A ordinary shares) issued by the Company to the depositary in February 2026 as a reserve in relation to the ATM Program. No consideration was received by the Company for this issuance of Class A ordinary shares. These Class A ordinary shares are legally issued but are treated as escrowed shares for accounting purposes. The number of beneficial owners of the ADSs in the United States is likely to be much larger than the number of record holders of our ordinary shares in the United States. We are not aware of any arrangement that may, at a subsequent date, result in a change of control of our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8" w:name="page79"/>
    <w:bookmarkEnd w:id="78"/>
    <w:p>
      <w:pPr>
        <w:ind w:right="4840"/>
        <w:spacing w:after="0" w:line="377"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Please refer to “Item 6. Directors, Senior Management and Employees—6.E. Share Ownership.”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Mr. Yifei Hou</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231F20"/>
        </w:rPr>
        <w:t>Mr. Yifei Hou is one of our founders and shareholders. We provide Mr. Yifei Hou interest free advances from time to time for fund support. In 2023, we provided an interest-free advance of RMB2.9 million (US$0.4 million) to Mr. Yifei Hou, which was fully collected by the end of April 2024.</w:t>
      </w:r>
    </w:p>
    <w:p>
      <w:pPr>
        <w:spacing w:after="0" w:line="1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As of December 31, 2023, 2024 and 2025, there were no amounts due to Mr. Yifei Hou. As of December 31, 2023, 2024 and 2025, the balance of amounts due from Mr. Yifei Hou was US$0.4 million, nil and nil,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Mr. Rui Ding</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Mr. Rui Ding is one of our founders and shareholders. We and Mr. Rui Ding provide each other interest free advances from time to time for fund support. In 2023, we provided an interest-free advance of RMB1.9 million (US$0.3 million) to Mr. Ding Rui, which was collected in January 2024. In 2022, we provided an interest-free advance of RMB1.7 million (US$0.2 million) to Mr. Rui Ding, which was fully collected in September 2023.</w:t>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As of December 31, 2023, 2024 and 2025, there were no amounts due to Mr. Rui Ding. As of December 31, 2023, 2024 and 2025, the balance of amounts due from Mr. Rui Ding was US$0.3 million, nil and nil,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Members of Management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provide other members of management interest free advances from time to time for fund support. In 2023, we provided two other members of management an interest-free advance of RMB0.2 million (US$27 thousand), which was fully collected in September 2023. As of December 31, 2023, 2024 and 2025, there were no amounts due to or due from such members of management.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Zhichong Technology (Shenzhen) Co., Ltd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We purchased inventories </w:t>
      </w:r>
      <w:r>
        <w:rPr>
          <w:rFonts w:ascii="Times New Roman" w:cs="Times New Roman" w:eastAsia="Times New Roman" w:hAnsi="Times New Roman"/>
          <w:sz w:val="18"/>
          <w:szCs w:val="18"/>
          <w:color w:val="000000"/>
        </w:rPr>
        <w:t>of US$71 thousand, US$0.4 million and US$0.1 million fr</w:t>
      </w:r>
      <w:r>
        <w:rPr>
          <w:rFonts w:ascii="Times New Roman" w:cs="Times New Roman" w:eastAsia="Times New Roman" w:hAnsi="Times New Roman"/>
          <w:sz w:val="18"/>
          <w:szCs w:val="18"/>
          <w:color w:val="231F20"/>
        </w:rPr>
        <w:t>om Zhichong Technology (Shenzhen) Co., Ltd., of which we own 49% equity interest, in 2023, 2024 and 2025, respectively.</w:t>
      </w:r>
    </w:p>
    <w:p>
      <w:pPr>
        <w:spacing w:after="0" w:line="54" w:lineRule="exact"/>
        <w:rPr>
          <w:sz w:val="20"/>
          <w:szCs w:val="20"/>
          <w:color w:val="auto"/>
        </w:rPr>
      </w:pPr>
    </w:p>
    <w:p>
      <w:pPr>
        <w:ind w:left="120" w:right="20" w:firstLine="509"/>
        <w:spacing w:after="0" w:line="282" w:lineRule="auto"/>
        <w:rPr>
          <w:sz w:val="20"/>
          <w:szCs w:val="20"/>
          <w:color w:val="auto"/>
        </w:rPr>
      </w:pPr>
      <w:r>
        <w:rPr>
          <w:rFonts w:ascii="Times New Roman" w:cs="Times New Roman" w:eastAsia="Times New Roman" w:hAnsi="Times New Roman"/>
          <w:sz w:val="18"/>
          <w:szCs w:val="18"/>
          <w:color w:val="231F20"/>
        </w:rPr>
        <w:t>We also sold certain types of EV chargers to Zhichong Technology (Shenzhen) Co., Ltd., in the amount of US$10 thousand for the years ended December 2025.</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As of December 31, 2023, 2024 and 2025, the amounts due to Zhichong Technology (Shenzhen) Co., Ltd was nil, US$0.1 million and </w:t>
      </w:r>
      <w:r>
        <w:rPr>
          <w:rFonts w:ascii="Times New Roman" w:cs="Times New Roman" w:eastAsia="Times New Roman" w:hAnsi="Times New Roman"/>
          <w:sz w:val="18"/>
          <w:szCs w:val="18"/>
          <w:color w:val="000000"/>
        </w:rPr>
        <w:t>US$0.2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 respectively. As of December 31, 2023, 2024 and 2025, the balance of amounts due from Zhichong Technology (Shenzhen) Co., Ltd was US$85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thousand, nil and </w:t>
      </w:r>
      <w:r>
        <w:rPr>
          <w:rFonts w:ascii="Times New Roman" w:cs="Times New Roman" w:eastAsia="Times New Roman" w:hAnsi="Times New Roman"/>
          <w:sz w:val="18"/>
          <w:szCs w:val="18"/>
          <w:color w:val="000000"/>
        </w:rPr>
        <w:t>US$12 thousand</w:t>
      </w:r>
      <w:r>
        <w:rPr>
          <w:rFonts w:ascii="Times New Roman" w:cs="Times New Roman" w:eastAsia="Times New Roman" w:hAnsi="Times New Roman"/>
          <w:sz w:val="18"/>
          <w:szCs w:val="18"/>
          <w:color w:val="231F20"/>
        </w:rPr>
        <w:t>,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Beijing Puyan Enterprise Management Co., Ltd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a related party of one of our shareholders, Beijing Puyan Enterprise Management Co., Ltd is a related party of our company. On March 22, 2021, we provided a two-year loan to Beijing Puyan Enterprise Management Co., Ltd in the amount of RMB30.3 million (US$4.2 million) bearing interest at a rate of 3.85% per annum.</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Proceeds </w:t>
      </w:r>
      <w:r>
        <w:rPr>
          <w:rFonts w:ascii="Times New Roman" w:cs="Times New Roman" w:eastAsia="Times New Roman" w:hAnsi="Times New Roman"/>
          <w:sz w:val="18"/>
          <w:szCs w:val="18"/>
          <w:color w:val="000000"/>
        </w:rPr>
        <w:t>from repayment of loans to Beijing Puyan Enterprise Management Co., Ltd. were US$2.9 million, US$55 thousand and nil million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 2024 and 2025, respectively; and interest income from Beijing Puyan Enterprise Management Co., Ltd. was US$7 thousand, US$2 thousand and US$31 thousand in 2023, 2024 and 2025, respectively.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As of December 31, 2023, 2024 and 2025, there were no amounts due to Beijing Puyan Enterprise Management Co., Ltd. As of December 31, 2023, 2024 and 2025, the balance of amounts due from Beijing Puyan Enterprise Management Co., Ltd was US$0.4 million, US$0.3 million and </w:t>
      </w:r>
      <w:r>
        <w:rPr>
          <w:rFonts w:ascii="Times New Roman" w:cs="Times New Roman" w:eastAsia="Times New Roman" w:hAnsi="Times New Roman"/>
          <w:sz w:val="18"/>
          <w:szCs w:val="18"/>
          <w:color w:val="000000"/>
        </w:rPr>
        <w:t>US$0.3 million</w:t>
      </w:r>
      <w:r>
        <w:rPr>
          <w:rFonts w:ascii="Times New Roman" w:cs="Times New Roman" w:eastAsia="Times New Roman" w:hAnsi="Times New Roman"/>
          <w:sz w:val="18"/>
          <w:szCs w:val="18"/>
          <w:color w:val="231F20"/>
        </w:rPr>
        <w:t>,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Beijing Zhichong New Energy Technology Co., Ltd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We sold produc</w:t>
      </w:r>
      <w:r>
        <w:rPr>
          <w:rFonts w:ascii="Times New Roman" w:cs="Times New Roman" w:eastAsia="Times New Roman" w:hAnsi="Times New Roman"/>
          <w:sz w:val="18"/>
          <w:szCs w:val="18"/>
          <w:color w:val="000000"/>
        </w:rPr>
        <w:t>ts of US$0.4 million, US$1.7 million and US$0.7 million</w:t>
      </w:r>
      <w:r>
        <w:rPr>
          <w:rFonts w:ascii="Times New Roman" w:cs="Times New Roman" w:eastAsia="Times New Roman" w:hAnsi="Times New Roman"/>
          <w:sz w:val="18"/>
          <w:szCs w:val="18"/>
          <w:color w:val="231F20"/>
        </w:rPr>
        <w:t xml:space="preserve"> to Beijing Zhichong New Energy Technology Co., Ltd., of which we own 12% equity interest, in 2023, 2024 and 2025,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In October 2023, we provided a loan in the amount of RMB0.7 million (equivalent to US$95 thousand) to Beijing Zhichong New Energy Technology Co., Ltd. with a simple interest rate of 6% per annum. The principal and accrued interest shall be due within a year. </w:t>
      </w:r>
      <w:r>
        <w:rPr>
          <w:rFonts w:ascii="Times New Roman" w:cs="Times New Roman" w:eastAsia="Times New Roman" w:hAnsi="Times New Roman"/>
          <w:sz w:val="18"/>
          <w:szCs w:val="18"/>
          <w:color w:val="000000"/>
        </w:rPr>
        <w:t>Proceeds from repayment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the loan to Zhichong New Energy Technology Co., Ltd. was nil thousand in 2025.</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As of December 31, 2023, 2024 and 2025, there were no amounts due to Beijing Zhichong New Energy Technology Co., Ltd. As of December 31, 2023, 2024 and 2025, the balance of amounts due from Beijing Zhichong New Energy Technology Co., Ltd was US$0.6 million, US$1.9 million and </w:t>
      </w:r>
      <w:r>
        <w:rPr>
          <w:rFonts w:ascii="Times New Roman" w:cs="Times New Roman" w:eastAsia="Times New Roman" w:hAnsi="Times New Roman"/>
          <w:sz w:val="18"/>
          <w:szCs w:val="18"/>
          <w:color w:val="000000"/>
        </w:rPr>
        <w:t>US$2.7 million</w:t>
      </w:r>
      <w:r>
        <w:rPr>
          <w:rFonts w:ascii="Times New Roman" w:cs="Times New Roman" w:eastAsia="Times New Roman" w:hAnsi="Times New Roman"/>
          <w:sz w:val="18"/>
          <w:szCs w:val="18"/>
          <w:color w:val="231F20"/>
        </w:rPr>
        <w:t>,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See “Item 6. Directors, Senior Management and Employees—6.B. Compensation—Share Incentive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See “Item 6. Directors, Senior Management and Employees—6.B. Compensation—Employment Agreements and Indemnification Agreements.”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in disputes and legal or administrative proceedings in the ordinary course of our business from time to time. As of the date of this report, save for the matter set forth below, we are not engaged in any material pending legal or administrative proceedings. However, litigation or any other legal or administrative proceeding, regardless of the outcome, is likely to result in substantial cost and diversion of our resources, including our management’s time and attention.</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detailed in Notes 8 and 9 to the consolidated financial statements appended to this annual report, on October 28, 2025, X-Charge Technology received a formal notice of arbitration from the China International Economic and Trade Arbitration Commission. The notice states that a claim was filed by Shell Ventures seeking repayment of the outstanding principal and interest totaling RMB16.71 million (equivalent to US$2.33 million), plus default interest accruing at an annual rate of 12% from March 10, 2025, as well as recovery of its legal fees and arbitration costs. The claim also demands joint and several liability from us, our German subsidiary, and our founders, Mr. Ding Rui and Mr. Hou Yifei. I</w:t>
      </w:r>
      <w:r>
        <w:rPr>
          <w:rFonts w:ascii="Times New Roman" w:cs="Times New Roman" w:eastAsia="Times New Roman" w:hAnsi="Times New Roman"/>
          <w:sz w:val="18"/>
          <w:szCs w:val="18"/>
          <w:color w:val="231F20"/>
        </w:rPr>
        <w:t>n connection with this matter, as of December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2025, the Group had recognized a provision of RMB17.6 million (approximately US$2.5 million) for outstanding principal, accrued interest, and default interest accrued up to the balance sheet date, and had restricted cash of RMB16.9 million (approximately US$2.4 million) due to asset preservation measures on certain bank accounts. </w:t>
      </w:r>
      <w:r>
        <w:rPr>
          <w:rFonts w:ascii="Times New Roman" w:cs="Times New Roman" w:eastAsia="Times New Roman" w:hAnsi="Times New Roman"/>
          <w:sz w:val="18"/>
          <w:szCs w:val="18"/>
          <w:color w:val="000000"/>
        </w:rPr>
        <w:t>As of the date hereof, the arbitration is pending, and no hearing has been scheduled.</w:t>
      </w:r>
      <w:r>
        <w:rPr>
          <w:rFonts w:ascii="Times New Roman" w:cs="Times New Roman" w:eastAsia="Times New Roman" w:hAnsi="Times New Roman"/>
          <w:sz w:val="18"/>
          <w:szCs w:val="18"/>
          <w:color w:val="231F20"/>
        </w:rPr>
        <w:t xml:space="preserve"> The Group concluded that the ultimate outcome of this arbitration would not have a material adverse effect on the Group's results of operations, consolidated financial condition, or cash flows.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any cash dividend or dividend in kind. We do not have any present plan to pay any cash dividends on our Class A ordinary shares in the foreseeable future. We currently intend to retain most, if not all, of our available funds and any future earnings to operate and expand our business.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8"/>
          <w:szCs w:val="18"/>
          <w:color w:val="auto"/>
        </w:rPr>
        <w:t>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the ADSs to the depositary, as the registered holder of such Class A ordinary shares, and the depositary then will pay such amounts to the ADS holders who will receive payment to the same extent as holders of our Class A ordinary shares underlying the ADSs held by such ADS holders, subject to the terms of the deposit agreement, including net of the fees and expenses payable thereunder.</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company incorporated in the Cayman Islands. For our cash requirements, including any payment of dividends to our shareholders, we rely upon payments from our operating entities. We rely on a combination of dividend payments from our subsidiaries in markets we operate. Regulations in local jurisdictions where we utilize dividend payments may restrict the ability of our subsidiaries to pay dividends to us.</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See “Item 4. Information on the Company—4.B. Business Overview—Regulation—PRC—Regulations Relating to Foreign Exchange and Dividend Distribution—Regulations on Dividend Distributions,” and “Item 3. Key Information—3.D. Risk Factors—Risks Related to the ADSs—Because we do not expect to pay dividends in the foreseeable future, you must rely on a price appreciation of the ADSs for a return on your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we have not experienced any significant changes since the date of the annual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Offering and Listing Details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Nasdaq Global Market under the symbol “XCH” since September 10, 2024. Each ADS represents 40 Class A ordinary shares, par value US$0.00001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Nasdaq Global Market under the symbol “XCH” since September 10, 2024. Each ADS represents 40 Class A ordinary shares, par value US$0.00001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as amended and restated from time to time, and the Cayman Islands Companies Act, and the common law of the Cayman Islands.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copy of our third amended and restated memorandum and articles of association is incorporated by reference as Exhibit 1.1 to this annual report. Our board of directors adopted our third amended and restated memorandum and articles of association by a special resolution on July 22, 2024, which became effective immediately prior to completion of our initial public offering of ADSs representing Class A ordinary shares.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third amended and restated memorandum and articles of association and the Cayman Islands Companies Act insofar as they relate to the material terms of our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ICS Corporate Services (Cayman) Limited of Palm Grove Unit 4, 265 Smith Road, George Town, P.O. Box 52A Edgewater Way, #1653, Grand Cayman KY1-9006, Cayman Islands.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Clause 3 of our third amended and restated memorandum and articles of association, the objects for which we are established are unrestricted and we shall have full power and authority to carry out any object not prohibited by the Cayman Islands Companies Act or as the same may be revised from time to time, or any other law of the Cayman Islands.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authorized share capital is US$50,000 divided into 5,000,000,000 ordinary shares, with a par value of US$0.00001 each, comprising (a) 4,258,745,553 Class A ordinary shares of par value of US$0.00001 each, and (b) 741,254,447 Class B ordinary shares of par value of US$0.00001 each. Holders of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holders of our ordinary shares are entitled to receive such dividends as may be declared by our board of directors subject to our memorandum and articles of association and the Cayman Islands Companies Act. In addition, our shareholders may by ordinary resolution declare a dividend, but no dividend may exceed the amount recommended by our directors. Our memorandum and articles of association provide that dividends may be declared and paid out of our profits, realized or unrealized, or from any reserve set aside from profits which our board of directors determines is no longer needed. Dividends may also be declared and paid out of share premium account or any other fund or account which can be authorized for this purpose in accordance with the Cayman Islands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Classes of Ordinary Shares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Class B ordinary share is convertible into one Class A ordinary share at any time by the holder thereof, while Class A ordinary shares are not convertible into Class B ordinary shares under any circumstances. Upon any sale, transfer, assignment or disposition of Class B ordinary shares by a holder thereof to any person which is not an affiliate of such holder, or upon a change of beneficial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one shareholder.</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and Shareholder Proposals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Cayman Islands Companies Act to call shareholders’ annual general meetings. Our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of the Nasdaq.</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general meeting, other than an annual general meeting, shall be an extraordinary general meeting. Shareholders’ annual general meetings and any other general meetings of our shareholders may be called by a majority of our board of directors or our chairman. Cayman Islands law provides shareholders with only limited rights to requisition a general meeting, and does not provide shareholders with any right to put any proposal before a general meeting. However, these rights may be provided in a company’s memorandum and articles of association. Our memorandum and articles of association allow our shareholders holding shares representing in aggregate not less than one-third of all votes attaching to the issued and outstanding shares of our company entitled to vote at general meetings to requisition a special meeting of the shareholders, in which case the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holding, in aggregate, not less than a majority of the votes attaching to all paid up share capital of our company present in person or by proxy or, if a corporation or other nonnatural person, by its duly authorized representative. Advance notice of at least seven business days is required for the convening of our annual general meeting and other general meetings unless such notice is waived in accordance with our articles of association.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Subject to the restrictions in our memorandum and articles of association as set out below, any of our shareholders may transfer all or any of his or her ordinary shares by an instrument of transfer in the usual or common form or any other form approved by our board of directors.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4" w:lineRule="exact"/>
        <w:rPr>
          <w:sz w:val="20"/>
          <w:szCs w:val="20"/>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of transfer is in respect of only one class of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of transfer is properly stamped, if required;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 transfer to joint holders, the number of joint holders to whom the ordinary share is to be transferred does not exceed four;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shares are free from any lien in favor of the company; and</w:t>
      </w:r>
    </w:p>
    <w:p>
      <w:pPr>
        <w:spacing w:after="0" w:line="11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in their absolute discretion from time to time determine, provided, however, that the registration of transfers shall not be suspended nor the register closed for more than 30 days in any year as our board may determine.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authorize our board of directors to issue additional ordinary shares from time to time as our board of directors shall determine, to the extent of available authorized but unissued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 in a notice served to such shareholders at least 14 days prior to the specified time of payment. The ordinary shares that have been called upon and remain unpaid are subject to forfeiture.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Cayman Islands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Cayman Islands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a majority of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Holders of our ordinary shares have no general right under Cayman Islands law to inspect or obtain copies of our list of shareholders or our corporate records (other than the memorandum and articles of association, special resolutions which have been passed by shareholders, register of mortgages and charges, and a list of current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the share capital by such sum, to be divided into shares of such classes and amount, as the resolution prescribes;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consolidate and divide all or any of our share capital into shares of a larger amount than our existing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convert all or any of its paid up shares into stock and reconvert the stock into paid up shares of any denomination;</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sub-divide our existing shares, or any of them into shares of a smaller amount than that fixed by our memorandum and articles of association; provided that in the subdivision the proportion between the amount paid and the amount, if any, unpaid on each reduced share will be the same as it was in case of the share from which the reduced share is derived; and</w:t>
      </w:r>
    </w:p>
    <w:p>
      <w:pPr>
        <w:spacing w:after="0" w:line="6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cancel any shares which, at the date of the passing of the resolution, have not been taken or agreed to be taken by any person and diminish the amount of our share capital by the amount of the shares so canceled.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shareholders may by special resolution, subject to confirmation by the Grand Court of the Cayman Islands on an application by our company for an order confirming such reduction, reduce our share capital and any capital redemption reserve in any manner authorized by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Cayman Islands Companies Act, we must keep a register of members and there should be entered therein:</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names and addresses of our members, together with a statement of the shares held by each member, and such statement shall confirm of</w:t>
      </w:r>
    </w:p>
    <w:p>
      <w:pPr>
        <w:spacing w:after="0" w:line="27" w:lineRule="exact"/>
        <w:rPr>
          <w:rFonts w:ascii="Times New Roman" w:cs="Times New Roman" w:eastAsia="Times New Roman" w:hAnsi="Times New Roman"/>
          <w:sz w:val="18"/>
          <w:szCs w:val="18"/>
          <w:color w:val="231F20"/>
        </w:rPr>
      </w:pPr>
    </w:p>
    <w:p>
      <w:pPr>
        <w:jc w:val="both"/>
        <w:ind w:left="1020" w:firstLine="6"/>
        <w:spacing w:after="0" w:line="255" w:lineRule="auto"/>
        <w:tabs>
          <w:tab w:leader="none" w:pos="1247" w:val="left"/>
        </w:tabs>
        <w:numPr>
          <w:ilvl w:val="1"/>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7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date on which the name of any person was entered on the register as a member;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date on which any person ceased to be a member.</w:t>
      </w:r>
    </w:p>
    <w:p>
      <w:pPr>
        <w:spacing w:after="0" w:line="19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Cayman Islands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Cayman Islands Companies Act to have legal title to the shares as set against its name in the register of members. We have performed the procedure necessary to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Cayman Islands Companies Act is derived, to a large extent, from the older companies acts of England, but does not follow recent English law statutory enactments, and accordingly there are significant differences between the Cayman Islands Companies Act and the current companies act of England. In addition, the Cayman Islands Companies Act differs from laws applicable to United States corporations and their shareholders. Set forth below is a summary of certain significant differences between the provisions of the Cayman Islands Companies Act applicable to us and the laws applicable to United States corporations and their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Cayman Islands Companies Act permits mergers and consolidations between Cayman Islands companies and between Cayman Islands companies and non-Cayman Islands companies. For these purposes, (a) “merger” means the merging of two or more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color w:val="auto"/>
        </w:rPr>
        <w:t>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Cayman Islands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Cayman Islands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court the view that the transaction ought not to be approved, the court can be expected to approve the arrangement if it determines that:</w:t>
      </w:r>
    </w:p>
    <w:p>
      <w:pPr>
        <w:spacing w:after="0" w:line="81"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statutory provisions as to the due majority vote have been met;</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shareholders have been fairly represented at the meeting in question and the statutory majority are acting bona fide without coercion of the minority to promote interests adverse to those of the class;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arrangement is such that may be reasonably approved by an intelligent and honest man of that class acting in respect of his interest;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arrangement is not one that would more properly be sanctioned under some other provision of the </w:t>
      </w:r>
      <w:r>
        <w:rPr>
          <w:rFonts w:ascii="Times New Roman" w:cs="Times New Roman" w:eastAsia="Times New Roman" w:hAnsi="Times New Roman"/>
          <w:sz w:val="18"/>
          <w:szCs w:val="18"/>
          <w:color w:val="000000"/>
        </w:rPr>
        <w:t>Cayman Islands</w:t>
      </w:r>
      <w:r>
        <w:rPr>
          <w:rFonts w:ascii="Times New Roman" w:cs="Times New Roman" w:eastAsia="Times New Roman" w:hAnsi="Times New Roman"/>
          <w:sz w:val="18"/>
          <w:szCs w:val="18"/>
          <w:color w:val="231F20"/>
        </w:rPr>
        <w:t xml:space="preserve"> Companies Act.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Cayman Islands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or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in any action or proceedings to be brought in respect of a wrong committed against us,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a derivative action in the name of, a company to challenge the following acts in the following circumstances:</w:t>
      </w:r>
    </w:p>
    <w:p>
      <w:pPr>
        <w:spacing w:after="0" w:line="75"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company acts or proposes to act illegally or ultra vires;</w:t>
      </w:r>
    </w:p>
    <w:p>
      <w:pPr>
        <w:spacing w:after="0" w:line="11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those who control the company are perpetrating a “fraud on the minority.”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that we shall indemnify our officers and directors against all actions, proceedings, costs, charges, losses, damages and expenses incurred or sustained by such directors or officers by reason of any act done or omitted in or about the execution of their duty in their respective offices, other than by reason of such person’s own fraud or dishonesty.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he or she owes the following duties to the company—a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7" w:name="page88"/>
    <w:bookmarkEnd w:id="8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Subject to Listing Rules of the Nasdaq and disqualification by the chairman of the relevant board meeting, a director may vote in respect of any contract, proposed contract, arrangement or transaction notwithstanding his interest.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Resolution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The Cayman Islands Companies Act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Cayman Islands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by an ordinary resolution. In addition, a director’s office shall be vacated if the director (i) gives notice in writing to the company that he or she resigns the office of director; (ii) dies, becomes bankrupt or makes any arrangement or composition with his creditors generally; (iii) is prohibited by any applicable law or rules of the Nasdaq from being a director; (iv) is found to be or becomes of unsound mind; or (v) is removed from office pursuant to any other provisions of our memorandum and articles of association.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and Winding Up</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Islands Companies Act and our memorandum and articles of association, our company may be dissolved, liquidated or wound up by a special resolution of our shareholders.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memorandum and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Cayman Islands Companies Act and our amended and restated memorandum and articles of association, our memorandum and articles of association may only be amended by a special resolution of our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Holders of our shares will have no general right under Cayman Islands law to inspect or obtain copies of our list of shareholders or our corporate records (other than the memorandum and articles of association, special resolutions which have been passed by shareholders, register of mortgages and charges, and a list of current directors). However, we intend to provide our shareholders with annual reports containing audited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ordinary shares. In addition, there are no provisions in our memorandum and articles of association that require our company to disclose shareholder ownership above any particular ownership threshold.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 See also “Item 4. Information of the Company—4.B. Business Overview—Regulation—Regulation Related to Foreign Exchange and Dividend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The following summary of Cayman Islands, Germany, PRC and U.S. federal income tax consequences of an investment in the ADSs or Class A ordinary shares is based upon laws and relevant interpretations thereof in effect as of the date of this annual report, all of which are subject to change. This summary does not deal with all possible tax consequences relating to an investment in the ADSs or Class A ordinary shares, such as the tax consequences under state, local and other tax laws, or tax laws of jurisdictions other than the Cayman Islands, Germany, PRC and the United States. To the extent that the discussion relates to matters of Cayman Islands tax law, it represents the opinion of Maples and Calder (Hong Kong) LLP, our counsel as to Cayman Islands law. To the extent that the discussion relates to matters of German tax law, it represents the opinion of GÖRG Partnerschaft von Rechtsanwälten mbB, our counsel as to German law. To the extent that the discussion relates to matters of PRC tax law, it represents the opinion of Fangda Partners, our counsel as to PRC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Cayman Islands Tax Considerations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Payments of dividends and capital in respect of our Class A ordinary shares or the ADSs will not be subject to taxation in the Cayman Islands and no withholding will be required on the payment of a dividend or capital to any holder of our Class A ordinary shares or the ADSs, as the case may be, nor will gains derived from the disposal of our Class A ordinary shares or the ADSs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No stamp duty is payable in respect of the issue of our Class A ordinary shares or the ADSs or on an instrument of transfer in respect of our Class A ordinary shares or the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German Tax Considerations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As we expect and intend to have our place of management outside of Germany, we expect that we will not be subject to German unlimited income taxation. However, because our tax residency depends on future facts regarding the location in which we are managed and controlled, there may be uncertainty as to whether we will actually qualify as a corporation not subject to German unlimited income taxation. On the basis that our place of management will be outside of Germany, no tax should be payable by us in respect of the issue of our Class A ordinary shares or the ADSs or on an instrument of transfer in respect of our Class A ordinary shares or the ADSs under German tax law. If we maintain our place of management outside of Germany, we will not be required to withhold amounts in respect of German taxes on dividends paid on our Class A ordinary shares and the ADSs.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This section does not set forth all German tax aspects that may be relevant for the holders of our Class A ordinary shares or the ADSs. This section is based on the German tax law applicable as of the date of this annual report. It should be noted that the law may change following the date of this annual report and that such changes may have retroactive effect. The tax information presented in this section is not a substitute for tax advice. Prospective holders of Class A ordinary shares or the ADSs should consult their own tax advisors regarding the tax consequences of the purchase, ownership, disposition, exercise, donation or inheritance of ordinary shares or warrants in light of their particular circumstances, including the effect of any state, local, or other foreign or domestic laws or changes in tax law or interpretation. Only an individual tax consultation can appropriately account for the particular tax situation of each investor.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PRC Tax Considerations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Although we are incorporated in the Cayman Islands, we may be treated as a PRC resident enterprise for PRC tax purposes under the PRC Enterprise Income Tax Law. Under the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implementing rules of the Enterprise Income Tax Law merely define the “de facto management body” as the “organizational body which effectively manages and controls the production and business operation, personnel, accounting, properties and other aspects of operations of an enterprise.” According to the Notice Regarding the Determination of Chinese-Controlled Enterprises Registered Overseas as Resident Enterprises on the Basis of “De Facto Management Bodies” issued by the SAT in 2009, an enterprise established outside of the PRC will be regarded as a PRC resident enterprise by virtue of having a “de facto management body” in PRC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China; (ii) financial decisions (such as money borrowing, lending, financing and financial risk management) and personnel decisions (such as appointment, dismissal and salary and wages) are decided or need to be decided by organizations or persons located within the territory of China; (iii) main property, accounting books, corporate seal, the board of directors and files of the minutes of shareholders’ meetings of the enterprise are located or preserved within the territory of China; and (iv) one half (or more) of the directors or senior management staff having the right to vote habitually reside within the territory of China.</w:t>
      </w:r>
    </w:p>
    <w:p>
      <w:pPr>
        <w:spacing w:after="0" w:line="1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do not believe our company or any of our subsidiaries outside the PRC are PRC resident enterprises for PRC tax purposes. However, the tax resident status of an enterprise is subject to determination by the PRC tax authorities and uncertainties remain with respect to the interpretation of the term “de facto management body.” Therefore, there can be no assurance that the PRC government will ultimately take a view that is consistent with ours. If we were to be considered a PRC tax resident enterprise, then dividends that we pay and gains realized on the sale or other disposition of the ADSs or Class A ordinary shares may be subject to PRC tax, at a rate of 10% in the case of non-PRC enterprises or 20% in the case of non-PRC individuals (which in the case of dividends may be withheld at source), if such dividends or gains are deemed to be from PRC sources. These rates may be reduced by an applicable tax treaty, but it is unclear whether non-PRC shareholders (including ADS holders) of our company would, in practice, be able to obtain the benefits of any tax treaties between their country of tax residence and the PRC in the event that we are treated as a PRC resident enterprise.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United States Federal Income Tax Considerations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The following are material U.S. federal income tax consequences to U.S. Holders (as defined below) of the ownership and disposition of the ADSs or Class A ordinary shares. 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any minimum tax, the Medicare contribution tax on net investment income and tax consequences applicable to U.S. Holders subject to special rules, such as:</w:t>
      </w:r>
    </w:p>
    <w:p>
      <w:pPr>
        <w:spacing w:after="0" w:line="75"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financial institutions;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insurance companies;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regulated investment companies;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dealers or traders in securities that use a mark-to-market method of tax accounting;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persons holding ADSs or Class A ordinary shares as part of a straddle, integrated or similar transaction;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persons whose functional currency for U.S. federal income tax purposes is not the U.S. dollar;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partnerships or other entities classified as partnerships for U.S. federal income tax purposes and partners or investors therein;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tax-exempt entities, “individual retirement accounts” or “Roth IRAs”;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w:t>
      </w:r>
      <w:r>
        <w:rPr>
          <w:rFonts w:ascii="Times New Roman" w:cs="Times New Roman" w:eastAsia="Times New Roman" w:hAnsi="Times New Roman"/>
          <w:sz w:val="18"/>
          <w:szCs w:val="18"/>
          <w:color w:val="000000"/>
        </w:rPr>
        <w:t>ns who acquired ADSs or Class A ordinary shares pursuant to the exercise of an employee stock option or otherwise as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persons that own or are deemed to own ADSs or Class A ordinary shares representing 10% or more of our stock by vote or value; 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persons holding ADSs or Class A ordinary shares in connection with a trade or business outside the United States.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If a partnership (or other entity or arrangement that is classified as a partnership for U.S. federal income tax purposes) owns ADSs or Class A ordinary shares, the U.S. federal income tax treatment of a partner in such partnership generally will depend on the status of the partner and the activities of the partnership. Partnerships owning ADSs or Class A ordinary shares and their partners should consult their tax advisers as to their particular U.S. federal income tax consequences of owning and disposing of ADSs or Class A ordinary shares.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This discussion is based on the U.S.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For purposes of this discussion, a “U.S. Holder” is a person that is, for U.S. federal income tax purposes, a beneficial owner of the ADSs or Class A ordinary shares and:</w:t>
      </w:r>
    </w:p>
    <w:p>
      <w:pPr>
        <w:spacing w:after="0" w:line="5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citizen or individual resident of the United States;</w:t>
      </w:r>
    </w:p>
    <w:p>
      <w:pPr>
        <w:spacing w:after="0" w:line="11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corporation, or other entity taxable as a corporation, created or organized in or under the laws of the United States, any state therein or the District of Columbia; or</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estate or trust the income of which is subject to U.S. federal income taxation regardless of its source.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This discussion does not address any state, local or non-U.S. tax considerations, or any federal taxes (such as estate or gift taxes) other than income taxes. U.S. Holders should consult their tax advisers concerning the U.S. federal, state, local and non-U.S. tax consequences of owning and disposing of ADSs or Class A ordinary shares in their particular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Taxation of Distributions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is subject to the discussion under “—</w:t>
      </w:r>
      <w:r>
        <w:rPr>
          <w:rFonts w:ascii="Times New Roman" w:cs="Times New Roman" w:eastAsia="Times New Roman" w:hAnsi="Times New Roman"/>
          <w:sz w:val="18"/>
          <w:szCs w:val="18"/>
          <w:i w:val="1"/>
          <w:iCs w:val="1"/>
          <w:color w:val="231F20"/>
        </w:rPr>
        <w:t>Passive Foreign Investment Company Rules</w:t>
      </w:r>
      <w:r>
        <w:rPr>
          <w:rFonts w:ascii="Times New Roman" w:cs="Times New Roman" w:eastAsia="Times New Roman" w:hAnsi="Times New Roman"/>
          <w:sz w:val="18"/>
          <w:szCs w:val="18"/>
          <w:color w:val="231F20"/>
        </w:rPr>
        <w:t>” below.</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Distributions paid on the ADSs or Class A ordinary shares, other than certain pro rata distributions of ADSs or Class A ordinary shares, generally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Because the ADSs are listed on the Nasdaq, subject to applicable limitations, dividends paid to certain noncorporate U.S. Holders of ADSs may be taxable at a preferential rate applicable to qualified dividend income, provided that certain requirements are met. Noncorporate U.S. Holders should consult their tax advisers regarding the availability of this preferential tax rate on dividends in their particular circumstances.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Dividends will be included in a U.S. Holder’s income on the date of receipt by the depositary (in the case of ADSs) or the U.S. Holder (in the case of Class A ordinary shares).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Dividends will be treated as foreign-source income for foreign tax credit purposes. As described in “—PRC Tax Considerations,” dividends paid by us may be subject to PRC withholding tax. For U.S. federal income tax purposes, the amount of dividend income will include any amounts withheld in respect of PRC taxes. Subject to applicable limitations that vary depending upon the U.S. Holder’s circumstances and the discussion below regarding certain Treasury regulations, PRC taxes withheld from dividend payments (at a rate not exceeding the applicable rate provided in the Treaty if the U.S. Holder is eligible for Treaty benefits) generally will be creditable against a U.S. Holder’s U.S. federal income tax liability. The rules governing foreign tax credits are complex. For example,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U.S. Internal Revenue Service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18"/>
          <w:szCs w:val="18"/>
          <w:color w:val="231F20"/>
        </w:rPr>
        <w:t>such notice or other guidance). In lieu of claiming a credit, a U.S. Holder may elect to deduct creditable non-U.S. income taxes, including PRC taxes, in computing its taxable income, subject to applicable limitations. An election to deduct creditable non-U.S. taxes instead of claiming foreign tax credits applies to all creditable non-U.S. taxes paid or accrued in the taxable year. U.S. Holders should consult their tax advisers regarding the availability of foreign tax credits in their particular circumstances.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 or Other Taxable Disposition of ADSs or Class A Ordinary Shares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231F20"/>
        </w:rPr>
        <w:t>The following is subject to the discussion under “—</w:t>
      </w:r>
      <w:r>
        <w:rPr>
          <w:rFonts w:ascii="Times New Roman" w:cs="Times New Roman" w:eastAsia="Times New Roman" w:hAnsi="Times New Roman"/>
          <w:sz w:val="18"/>
          <w:szCs w:val="18"/>
          <w:i w:val="1"/>
          <w:iCs w:val="1"/>
          <w:color w:val="231F20"/>
        </w:rPr>
        <w:t>Passive Foreign Investment Company Rules</w:t>
      </w:r>
      <w:r>
        <w:rPr>
          <w:rFonts w:ascii="Times New Roman" w:cs="Times New Roman" w:eastAsia="Times New Roman" w:hAnsi="Times New Roman"/>
          <w:sz w:val="18"/>
          <w:szCs w:val="18"/>
          <w:color w:val="231F20"/>
        </w:rPr>
        <w:t>” below. A U.S. Holder generally will recognize capital gain or loss on the sale or other taxable disposition of ADSs or Class A ordinary shares in an amount equal to the difference between the amount realized and the U.S. Holder’s tax basis in the ADSs or Class A ordinary shares disposed of. The gain or loss will be long-term capital gain or loss if, at the time of the sale or disposition, the U.S. Holder has owned the ADSs or Class A ordinary shares for more than one year. Long-term capital gains recognized by noncorporate U.S. Holders are subject to tax rates that are lower than those applicable to ordinary income. The deductibility of capital losses is subject to limitations.</w:t>
      </w:r>
    </w:p>
    <w:p>
      <w:pPr>
        <w:spacing w:after="0" w:line="1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As described in “—PRC Tax Considerations,” if we are deemed to be a “resident enterprise” under PRC tax law, any gain on the sale of ADSs or Class A ordinary shares may be subject to PRC taxes. Under the Code, capital gains of U.S. persons generally are treated as U.S.-source income, including for foreign tax credit limitation purposes, which will generally limit the availability of foreign tax credits for U.S. Holders. If, however, any PRC tax is imposed upon a disposition, U.S. Holders that are eligible for the benefits of the Treaty may be able to elect to treat any gain as foreign-source income under the Treaty (provided the Company qualifies for the benefits of the Treaty) and claim a foreign tax credit in respect of any PRC taxes on disposition gains. Certain Treasury regulations generally preclude a U.S. Holder from claiming a foreign tax credit with respect to PRC income taxes on gains from dispositions of ADSs or Class A ordinary shares unless the U.S. Holder is eligible for the benefits of the Treaty and elects to apply them. As discussed above under “—</w:t>
      </w:r>
      <w:r>
        <w:rPr>
          <w:rFonts w:ascii="Times New Roman" w:cs="Times New Roman" w:eastAsia="Times New Roman" w:hAnsi="Times New Roman"/>
          <w:sz w:val="18"/>
          <w:szCs w:val="18"/>
          <w:i w:val="1"/>
          <w:iCs w:val="1"/>
          <w:color w:val="231F20"/>
        </w:rPr>
        <w:t>Taxation of Distributions</w:t>
      </w:r>
      <w:r>
        <w:rPr>
          <w:rFonts w:ascii="Times New Roman" w:cs="Times New Roman" w:eastAsia="Times New Roman" w:hAnsi="Times New Roman"/>
          <w:sz w:val="18"/>
          <w:szCs w:val="18"/>
          <w:color w:val="231F20"/>
        </w:rPr>
        <w:t>,” the IRS released notices that provide relief from certain of their provisions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a U.S. Holder from claiming a foreign tax credit with respect to PRC taxes on disposition gains, other limitations under the foreign tax credit rules may preclude a U.S. Holder from claiming a foreign tax credit with respect to PRC income taxes on disposition gains. If a U.S. Holder is precluded from claiming a foreign tax credit, it is possible that any PRC income taxes on disposition gains may either be deductible or reduce the amount realized on the disposition.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 rules governing foreign tax credits and deductibility of foreign taxes are complex. U.S. Holders should consult their tax advisers regarding their eligibility for the benefits of the Treaty and the creditability or deductibility of any PRC or other non-U.S. tax on disposition gains in their particular circumstances, including the Treaty’s resourcing rules, any reporting requirements with respect to a Treaty-based return position and any applicable limitations.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Passive Foreign Investment Company Rules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In general, a non-U.S. corporation is a passive foreign investment company (“PFIC”) for U.S. federal income tax purposes for any taxable year in which (i) 75% or more of its gross income consists of passive income; or (ii) 50% or more of the value of its assets (generally determined on a quarterly average basis) consists of assets that produce, or are held for the production of, passive income. For purposes of these calculations,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 Passive income generally includes dividends, interest, investment gains, and certain rents and royalties. Cash and cash equivalents are generally treated as passive assets. Goodwill generally is treated as an active asset to the extent associated with activities that generate active income.</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Based on the composition of our income and assets and the estimated value of our assets, including goodwill (determined in large part by reference to our market capitalization), we do not believe we were a PFIC for our 2025 taxable year. However, our PFIC status for any taxable year is an annual factual determination that can be made only after the end of that year. Specifically, our PFIC status for any taxable year will depend on the composition of our income and assets and the value of our assets from time to time (including the value of our goodwill, which may be determined in large part by reference to our market capitalization, which has declined since our initial public offering, and which may continue to decline or be volatile). We currently hold a substantial amount of cash. While that continues to be the case, we may be or become a PFIC for any taxable year if our market capitalization declines or fluctuates. Accordingly, we cannot assure U.S. Holders of the ADSs or Class A ordinary shares that we will not be a PFIC for any taxable year.</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a Lower-tier PFIC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231F20"/>
        </w:rPr>
        <w:t>and (ii) dispositions of shares of Lower-tier PFICs, in each case as if the U.S. Holder held such shares directly, even though the U.S. Holder will not receive any proceeds of those distributions or dispositions directly.</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Generally, if we are a PFIC for any taxable year during which a U.S. Holder owns the ADSs or Class A ordinary shares, gain recognized by such U.S. Holder on a sale or other disposition (including certain pledges) of the ADSs or Class A ordinary shares will be allocated ratably over the U.S. Holder’s holding period for the ADSs or Class A ordinary shares.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the excess distributions will be subject to taxation in the same manner. If we are a PFIC for any taxable year during which a U.S. Holder owns ADSs or Class A ordinary shares, we generally will continue to be treated as a PFIC with respect to the U.S. Holder for all succeeding years during which the U.S. Holder owns the ADSs or Class A ordinary shares, even if we cease to meet the threshold requirements for PFIC status. If, however, we are a PFIC for any taxable year but cease to be a PFIC for subsequent taxable years, the U.S. Holder may make a timely “deemed sale” election which will allow the U.S. Holder to eliminate the continuing PFIC status, in which case any gain on the deemed sale will be taxed under the PFIC rules described above. U.S. Holders should consult their tax advisers regarding the advisability of making this election.</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Alternatively, if we are a PFIC for any taxable year and if the ADSs are “regularly traded” on the Nasdaq, a U.S. Holder of ADSs may make a mark-to-market election that will result in tax treatment different from the general tax treatment for PFICs described in the preceding paragraph. The ADSs will be treated as “regularly traded” for any calendar year in which more than a </w:t>
      </w:r>
      <w:r>
        <w:rPr>
          <w:rFonts w:ascii="Times New Roman" w:cs="Times New Roman" w:eastAsia="Times New Roman" w:hAnsi="Times New Roman"/>
          <w:sz w:val="18"/>
          <w:szCs w:val="18"/>
          <w:i w:val="1"/>
          <w:iCs w:val="1"/>
          <w:color w:val="231F20"/>
        </w:rPr>
        <w:t>de minimis</w:t>
      </w:r>
      <w:r>
        <w:rPr>
          <w:rFonts w:ascii="Times New Roman" w:cs="Times New Roman" w:eastAsia="Times New Roman" w:hAnsi="Times New Roman"/>
          <w:sz w:val="18"/>
          <w:szCs w:val="18"/>
          <w:color w:val="231F20"/>
        </w:rPr>
        <w:t xml:space="preserve"> quantity of the ADSs is traded on the Nasdaq on at least 15 days during each calendar quarter. If a U.S. Holder of ADSs makes the mark-to-market election, for each taxable year that we are a PFIC, the U.S. Holder generally will recognize as ordinary income any excess of the fair market value of the ADSs at the end of such U.S. Holder’s taxable year over their adjusted tax basis, and will recognize an ordinary loss in respect of any excess of the adjusted tax basis of the ADSs over their fair market value at the end of such U.S. Holder’s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w:t>
      </w:r>
      <w:r>
        <w:rPr>
          <w:rFonts w:ascii="Times New Roman" w:cs="Times New Roman" w:eastAsia="Times New Roman" w:hAnsi="Times New Roman"/>
          <w:sz w:val="18"/>
          <w:szCs w:val="18"/>
          <w:i w:val="1"/>
          <w:iCs w:val="1"/>
          <w:color w:val="231F20"/>
        </w:rPr>
        <w:t>Taxation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Distributions</w:t>
      </w:r>
      <w:r>
        <w:rPr>
          <w:rFonts w:ascii="Times New Roman" w:cs="Times New Roman" w:eastAsia="Times New Roman" w:hAnsi="Times New Roman"/>
          <w:sz w:val="18"/>
          <w:szCs w:val="18"/>
          <w:color w:val="231F20"/>
        </w:rPr>
        <w:t>” above (but subject to the discussion in the immediately subsequent paragraph). Once made, the election will remain in effect for all taxable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years in which we are a PFIC, unless it is revoked with the IRS’s consent, or the ADSs cease to be regularly traded on a qualified exchange. U.S. Holders should consult their tax advisers regarding the availability and advisability of making a mark-to-market election in their particular circumstances in the case that we are a PFIC for any taxable year. In particular, U.S. Holders should consider carefully the impact of a mark-to-market election with respect to their ADSs given that we may have Lower-tier PFICs. There is no provision in the Code, Treasury regulations, or other official guidance that provides for a right to make a mark-to-market election with respect to any Lower-tier PFICs the shares of which are not regularly traded on a qualified exchange. As a result, even if a U.S. Holder makes a mark-to-market election with respect to its ADSs, the U.S. Holder could nevertheless be subject to the PFIC rules described above regarding its indirect interest in any Lower-tier PFIC. In addition, because our Class A ordinary shares are not publicly traded, a U.S. Holder that holds Class A ordinary shares that are not represented by ADSs generally will not be eligible to make a mark-to-market election with respect to such shares.</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If we are a PFIC (or are treated as a PFIC with respect to a U.S. Holder) for a taxable year in which we pay a dividend or for the prior taxable year, the preferential tax rate described above with respect to dividends paid to certain noncorporate U.S. Holders will not apply.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do not intend to provide the information necessary for U.S. Holders to make a “qualified electing fund” election, which, if available, could materially affect the tax consequences of the ownership and disposition of the ADSs or Class A ordinary shares if we are a PFIC for any taxable year. Therefore, U.S. Holders will not be able to make this election.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If we are a PFIC for any taxable year during which a U.S. Holder owns any ADSs or Class A ordinary shares, the U.S. Holder generally will be required to file annual reports on IRS Form 8621 with respect to us and any Lower-tier PFIC, generally with the U.S. Holder’s federal income tax return for that year.</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U.S. Holders should consult their tax advisers regarding the determination of whether we are a PFIC for any taxable year and the potential application of the PFIC rules to their ownership of ADSs or Class A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231F20"/>
        </w:rPr>
        <w:t>Information Reporting and Backup Withholding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Payments of dividends and proceeds from the sale of ADSs and Class A ordinary shares that are made within the United States or through certain U.S.-related financial intermediaries may be subject to information reporting and backup withholding (currently at a rate of 24%), unless (i) the U.S. Holder is a corporation or other “exempt recipient” (and establishes that status if required to do so) or (ii) in the case of backup withholding, the U.S. Holder provides a correct taxpayer identification number and certifies that it is not subject to backup withholding, generally on IRS Form W-9. The amount of any backup withholding from a payment to a U.S. Holder will be allowed as a credit against its U.S. federal income tax liability and may entitle it to a refund, provided that the required information is timely furnished to the IRS. Certain U.S. Holders who are individuals (or one of certain specified entities) may be required to report information relating to their ownership of ADSs or Class A ordinary shares, or non-U.S. accounts through which the ADSs or Class A ordinary shares are held. U.S. Holders should consult their tax advisers regarding their reporting obligations with respect to their ownership and disposition of ADSs and Class A ordinary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121"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previously filed with the SEC a registration statement on Form F-1 (File No. 333-276802), as amended, to register our Class A ordinary shares in relation to our initial public offering. We also filed with the SEC a related registration statement on Form F-6 (File No. 333-276812) to register the ADSs representing our Class A ordinary shares. We also filed with the SEC a shelf registration statement on Form F-3 (File No. 333-292266), as amended, to register an aggregate of US$250,000,000 in the Company's securities, as well as a prospectus supplement relating to the offer and sale of up to an aggregate of US$12,800,000 in ADSs. We also filed with the SEC a registration statement on Form S-8 (File No. 333-294184) to register an aggregate of 1,756,136,269 Class A ordinary shares issuable by the Company pursuant to its 2023 Share Incentive Plan II and its 2026 Share Incentive Plan.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short-swing profit recovery provisions contained in Section 16(b) of the Exchange Act. However, following recently enacted legislation in the United States, our directors and executive officers are subject to the obligations to report transactions in Company securities pursuant to Section 16(a) of the Exchange Act. In addition, we are not required under the Exchange Act to file periodic reports and financial statements with the SEC as frequently or as promptly as U.S. companies whose securities are registered under the Exchange Act.</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11.QUANTITATIVE AND QUALITATIVE DISCLOSURES ABOUT MARKET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foreign currency risks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reporting currency is United States Dollars (“US$”). The functional currency of our company and our subsidiaries incorporated in United States, HK S.A.R. and British Virgin Islands is US$. The functional currency of our subsidiary incorporated in Germany is euro (“EUR”), and the functional currency of our PRC subsidiaries is Renminbi (“RMB”). 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general and administrative expenses in the consolidated statements of comprehensive loss.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financial statements of our German subsidiary and PRC subsidiaries are translated from their functional currency into US$. Assets and liabilities are translated into US$ using the applicable exchange rates at the balance sheet date. Equity accounts other than earnings or deficits generated in the current period are translated into US$ using the appropriate historical rates. Revenues, expenses, gains and losses are translated into US$ using the average exchange rates for the relevant period. The resulted foreign currency translation adjustments are recorded as a component of other comprehensive income or loss in the consolidated statements of comprehensive loss, and the accumulated foreign currency translation adjustments are recorded in accumulated other comprehensive income (loss) as a component of consolidated statements of changes in shareholders’ (deficit) equity.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and cash equivalents, restricted cash, accounts receivable, net, other receivables of prepayments and other current assets, and amounts due from related parties.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place our cash and cash equivalents and restricted cash in various commercial banks in the PRC, Germany and the United States. We believe that no significant credit risk exists as these banks are principally government-owned financial institutions with high credit ratings.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conduct credit evaluations on our customers prior to delivery of goods or services. The assessment of customer creditworthiness is primarily based on historical collection records, research of publicly available information and customer on-site visits by senior management. Based on this analysis, we determine what credit terms, if any, to offer to each customer individually. If the assessment indicates a likelihood of collection risk, we will not deliver the services or sell the products to the customer or require the customer to pay cash, post letters of credit to secure payment or to make significant down payments.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our financial condition and results of operations. We are exposed to floating interest rate risk on floating rate borrowings, and the risks due to changes in interest rates is not material. We have not used any derivative financial instruments to manage our interest risk exposure.</w:t>
      </w:r>
    </w:p>
    <w:p>
      <w:pPr>
        <w:spacing w:after="0" w:line="280" w:lineRule="exact"/>
        <w:rPr>
          <w:sz w:val="20"/>
          <w:szCs w:val="20"/>
          <w:color w:val="auto"/>
        </w:rPr>
      </w:pPr>
    </w:p>
    <w:p>
      <w:pPr>
        <w:ind w:right="4320"/>
        <w:spacing w:after="0" w:line="378" w:lineRule="auto"/>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 12.A. Debt Securities</w:t>
      </w: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regarding the fees and charges that a holder of ADSs may have to pay, either directly or indirectly, and the fees and other direct and indirect payments made by the depositary to the Company, is set forth below.</w:t>
      </w:r>
    </w:p>
    <w:p>
      <w:pPr>
        <w:sectPr>
          <w:pgSz w:w="11900" w:h="16838" w:orient="portrait"/>
          <w:cols w:equalWidth="0" w:num="1">
            <w:col w:w="11240"/>
          </w:cols>
          <w:pgMar w:left="320" w:top="1305" w:right="339" w:bottom="1440" w:gutter="0" w:footer="0" w:header="0"/>
        </w:sectPr>
      </w:pPr>
    </w:p>
    <w:p>
      <w:pPr>
        <w:spacing w:after="0" w:line="90"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8"/>
          <w:szCs w:val="18"/>
          <w:b w:val="1"/>
          <w:bCs w:val="1"/>
          <w:color w:val="231F20"/>
        </w:rPr>
        <w:t>Persons depositing or withdrawing ordinary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-15240</wp:posOffset>
            </wp:positionV>
            <wp:extent cx="3505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US$5.00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US$0.05 (or less) per ADS</w:t>
      </w:r>
    </w:p>
    <w:p>
      <w:pPr>
        <w:spacing w:after="0" w:line="63"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231F20"/>
        </w:rPr>
        <w:t>A fee equivalent to the fee that would be payable if securities distributed to you had been shares and the shares had been deposited for issuance of the ADSs</w:t>
      </w:r>
    </w:p>
    <w:p>
      <w:pPr>
        <w:spacing w:after="0" w:line="14" w:lineRule="exact"/>
        <w:rPr>
          <w:sz w:val="20"/>
          <w:szCs w:val="20"/>
          <w:color w:val="auto"/>
        </w:rPr>
      </w:pPr>
    </w:p>
    <w:p>
      <w:pPr>
        <w:ind w:left="100" w:right="2280"/>
        <w:spacing w:after="0" w:line="344" w:lineRule="auto"/>
        <w:rPr>
          <w:sz w:val="20"/>
          <w:szCs w:val="20"/>
          <w:color w:val="auto"/>
        </w:rPr>
      </w:pPr>
      <w:r>
        <w:rPr>
          <w:rFonts w:ascii="Times New Roman" w:cs="Times New Roman" w:eastAsia="Times New Roman" w:hAnsi="Times New Roman"/>
          <w:sz w:val="18"/>
          <w:szCs w:val="18"/>
          <w:color w:val="231F20"/>
        </w:rPr>
        <w:t>US$0.05 (or less) per ADS per calendar year Registration or transfer fees</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Expenses of the depositary</w:t>
      </w:r>
    </w:p>
    <w:p>
      <w:pPr>
        <w:spacing w:after="0" w:line="27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231F20"/>
        </w:rPr>
        <w:t>Taxes and other governmental charges the depositary or the custodian has to pay on any ADSs or shares underlying the ADSs, such as stock transfer taxes, stamp duty or withholding taxes</w:t>
      </w:r>
    </w:p>
    <w:p>
      <w:pPr>
        <w:spacing w:after="0" w:line="14" w:lineRule="exact"/>
        <w:rPr>
          <w:sz w:val="20"/>
          <w:szCs w:val="20"/>
          <w:color w:val="auto"/>
        </w:rPr>
      </w:pPr>
    </w:p>
    <w:p>
      <w:pPr>
        <w:jc w:val="both"/>
        <w:ind w:left="100"/>
        <w:spacing w:after="0" w:line="282" w:lineRule="auto"/>
        <w:rPr>
          <w:sz w:val="20"/>
          <w:szCs w:val="20"/>
          <w:color w:val="auto"/>
        </w:rPr>
      </w:pPr>
      <w:r>
        <w:rPr>
          <w:rFonts w:ascii="Times New Roman" w:cs="Times New Roman" w:eastAsia="Times New Roman" w:hAnsi="Times New Roman"/>
          <w:sz w:val="18"/>
          <w:szCs w:val="18"/>
          <w:color w:val="231F20"/>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33864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7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Issuance of the ADSs, including issuances resulting from a distribution of shares or rights or other property</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Cancelation of the ADSs for the purpose of withdrawal, including if the deposit agreement terminates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Any cash distribution to ADS holders</w:t>
      </w:r>
    </w:p>
    <w:p>
      <w:pPr>
        <w:spacing w:after="0" w:line="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Distribution of securities distributed to holders of deposited securities (including rights) that are distributed by the depositary to ADS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Depositary services</w:t>
      </w:r>
    </w:p>
    <w:p>
      <w:pPr>
        <w:spacing w:after="0" w:line="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Transfer and registration of shares on our share register to or from the name of the depositary or its agent when you deposit or withdraw shares</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Cable (including SWIFT) and facsimile transmissions (when expressly provided in the deposit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necessary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necessary</w:t>
      </w:r>
    </w:p>
    <w:p>
      <w:pPr>
        <w:spacing w:after="0" w:line="427" w:lineRule="exact"/>
        <w:rPr>
          <w:sz w:val="20"/>
          <w:szCs w:val="20"/>
          <w:color w:val="auto"/>
        </w:rPr>
      </w:pPr>
    </w:p>
    <w:p>
      <w:pPr>
        <w:sectPr>
          <w:pgSz w:w="11900" w:h="16838" w:orient="portrait"/>
          <w:cols w:equalWidth="0" w:num="2">
            <w:col w:w="5620" w:space="200"/>
            <w:col w:w="5420"/>
          </w:cols>
          <w:pgMar w:left="320" w:top="1305" w:right="339" w:bottom="1440" w:gutter="0" w:footer="0" w:header="0"/>
          <w:type w:val="continuous"/>
        </w:sect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the ADSs directly from investors depositing shares or surrendering the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w:t>
      </w:r>
    </w:p>
    <w:p>
      <w:pPr>
        <w:spacing w:after="0" w:line="13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representation that the rate obtained or determined by us is the most favorable rate and neither it nor we will be liable for any direct or indirect losses associated with the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080"/>
        <w:spacing w:after="0" w:line="377"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 – 14.D. Material Modifications to the Rights of Security Holders</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No. 333-276802) as amended (the “IPO Registration Statement”), which registered 133,333,400 Class A ordinary shares represented by 3,333,335 ADSs issued and sold by us, and the underwriters’ exercise of their option to purchase from us 128,888 additional ADSs representing 5,155,520 Class A ordinary shares, at a public offering price of US$6.20 per ADS. The registration statement was declared effective by the SEC on September 9, 2024, for our initial public offering, which closed in September 2024. US Tiger Securities, Inc. was the underwriter.</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received net proceeds of US$15.0 million from our initial public offering in September 2024 and the underwriters’ exercise of over-allotment option. Our expenses incurred and paid to others in connection with the issuance and distribution of the ADSs in our offering totaled US$6.5 million, which included US$1.5 million for underwriting discounts and commissions and US$5.0 million for other expenses. None of the transaction expenses included payments to directors or officers of our company or their associates, persons owning more than 10% or more of our equity securities or our affiliates.</w:t>
      </w:r>
    </w:p>
    <w:p>
      <w:pPr>
        <w:spacing w:after="0" w:line="15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period from the date that the registration statement on Form F-1 was declared effective by the SEC to December 31, 2025, we used approximately US$12.7 million of the net proceeds received from the initial public offering for research and development of products, global market expansion, professional expenses for the initial public offering and working capital for general corporate purposes.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is no material change in the use of proceeds as described in our registration statement on Form F-1. We intend to use the remainder of the net proceeds from our initial public offering for the purposes as disclosed in our registration statements on Form F-1.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and 15d-15(e) under the Exchange Act as of December 31, 2025 and concluded that our disclosure controls and procedures were not effective as of December 31, 2025. The purpose of these controls and procedures is to ensure that information required to be disclosed in the reports we file or submit under the Exchange Act is recorded, processed, summarized and reported within the time periods specified under the SEC rules, and that such information is accumulated and communicated to our management, including our CEO and CFO, to allow timely decisions regarding required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for the year ended December 31, 2025, we and our independent registered public accounting firm identified a material weakness in our internal control over financial reporting as of December 31, 2025, in accordance with the standards established by the PCAOB.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relates to the lack of sufficient competent financial reporting and accounting personnel with appropriate understanding of U.S. GAAP and financial reporting requirements set forth by the SEC to formalize, design, implement and operate key controls over financial reporting process in order to prepare, review and report financial information, and to address complex U.S. GAAP accounting issues and related disclosures, in accordance with U.S. GAAP and SEC financial reporting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firstLine="509"/>
        <w:spacing w:after="0" w:line="282" w:lineRule="auto"/>
        <w:rPr>
          <w:sz w:val="20"/>
          <w:szCs w:val="20"/>
          <w:color w:val="auto"/>
        </w:rPr>
      </w:pPr>
      <w:r>
        <w:rPr>
          <w:rFonts w:ascii="Times New Roman" w:cs="Times New Roman" w:eastAsia="Times New Roman" w:hAnsi="Times New Roman"/>
          <w:sz w:val="18"/>
          <w:szCs w:val="18"/>
          <w:color w:val="auto"/>
        </w:rPr>
        <w:t>To remediate this identified material weakness, we have adopted and will adopt further measures to improve our internal control over financial reporting, as follows:</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financial reporting and accounting staff with adequate experience and knowledge with U.S. GAAP and SEC reporting requirements to address complex U.S. GAAP technical accounting issues, strengthen the financial reporting function, and set up an internal control framework to prepare and review the consolidated financial statements and related disclosures in accordance with U.S. GAAP and SEC financial reporting requirements;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regular U.S. GAAP and SEC financial reporting training programs for the financial reporting and accounting personnel to equip them with sufficient knowledge and practical experience of preparing financial statements under U.S. GAAP and SEC reporting requirements;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period-end financial reporting policies and procedures, especially for non-recurring and complex transactions to ensure consolidated financial statements and related disclosures are in compliance with U.S. GAAP and SEC reporting requirements.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intend to remediate the material weaknesses in multiple phases and expect that we will incur certain costs for implementing our remediation measures. The implementation of these measures, however, may not fully remediate the material weaknesses identified in our internal control over financial reporting, and we cannot conclude that the material weaknesses has been fully remediated. See “Item 3. Key Information—3.D. Risk Factors— Risks Related to Our Business—If we fail to implement and maintain an effective system of internal controls over financial reporting, we may be unable to accurately or timely report our results of operations or prevent fraud, and investor confidence and the trading price of our ADSs may be materially and adversely affected.”</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identified two material weaknesses in its internal control over financial reporting. To remediate the material weakness related to the failure to establish formal policies and procedures on relevant general information technology controls (“GITCs”), we adopted the following measures to improve our internal control over financial reporting:</w:t>
      </w:r>
    </w:p>
    <w:p>
      <w:pPr>
        <w:spacing w:after="0" w:line="68"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and allocate resources as necessary to support the increasing complexity of our general information technology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 policies and procedures on relevant GITCs;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control over the authorization of accounts, and improve the segregation of duties in accounts across incompatible IT layers/functions;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reassess and select SaaS service providers for the financial management system in different countries to improve the ability of the management to assess the effectiveness of the GITCs.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enhancements have improved the Company’s control environment and mitigated the risks associated with the previously identified control deficiencies. We have continuously implemented and will continue to implement such measures, including in the preparation of our consolidated financial statements in the subsequent periods. We continue to monitor and evaluate the effectiveness of these measures and further enhance the internal control framework.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management, including our CEO and CFO, is responsible for establishing and maintaining adequate internal control over financial reporting (as defined in Rules 13a-15(f) and 15d-15(f) under the Exchange Act).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we conducted an evaluation of the effectiveness of our internal control over financial reporting as of December 31, 2025. In assessing the effectiveness of our internal control over financial reporting, our management used the framework established in Internal Control–Integrated Framework (2013) issued by The Committee of Sponsoring Organizations of the Treadway Commission.</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our evaluation as of December 31, 2025, our management concluded that our internal control over financial reporting was not effective as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those remediation steps described above, 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Rodney James Huey, an independent director and a member of our audit committee, qualifies as an “audit committee financial expert” within the meaning of the SEC rules and possesses financial sophistication within the meaning of Listing Rules of the Nasdaq Global Market. Rodney James Huey satisfies the “independence” requirements of Section 5605(a)(2) of the Listing Rules of the Nasdaq Global Market and Rule 10A-3 under the Securities Exchange Act of 1934,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A copy of our code of business conduct and ethics is filed as Exhibit 11.1 to this annual report on Form 20-F. Additionally, we have posted a copy of our code of business conduct and ethics on our website at https://investors.xcharge.com/. The information contained on our website is not incorporated by reference in this annual report on Form 20-F. We hereby undertake to provide to any person without charge, a copy of our code of business conduct and ethics within ten working days after we receive such person’s written request. Any waiver (including any implicit waiver) from the provisions of our code of business conduct and ethics may only be granted to our executive officers or directors by the board of directors or a committee thereof and will be promptly disclosed on our website at the same address.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Marcum Asia CPAs LLP, our independent registered public accounting firm, for the periods indicated, respectively.</w:t>
      </w:r>
    </w:p>
    <w:p>
      <w:pPr>
        <w:spacing w:after="0" w:line="15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Borders>
              <w:top w:val="single" w:sz="8" w:color="auto"/>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22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Borders>
              <w:bottom w:val="single" w:sz="8" w:color="auto"/>
            </w:tcBorders>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22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r>
      <w:tr>
        <w:trPr>
          <w:trHeight w:val="216"/>
        </w:trPr>
        <w:tc>
          <w:tcPr>
            <w:tcW w:w="880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120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12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1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5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 w:lineRule="exact"/>
        <w:rPr>
          <w:sz w:val="20"/>
          <w:szCs w:val="20"/>
          <w:color w:val="auto"/>
        </w:rPr>
      </w:pPr>
    </w:p>
    <w:p>
      <w:pPr>
        <w:ind w:left="520" w:hanging="512"/>
        <w:spacing w:after="0" w:line="270" w:lineRule="auto"/>
        <w:tabs>
          <w:tab w:leader="none" w:pos="5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Audit fees mean the aggregate fees billed in each of the fiscal years listed for professional services rendered by our principal auditors for the audit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consolidated financial statements and assistance with and review of documents filed with the SEC.</w:t>
      </w:r>
    </w:p>
    <w:p>
      <w:pPr>
        <w:ind w:left="520" w:hanging="512"/>
        <w:spacing w:after="0" w:line="264" w:lineRule="auto"/>
        <w:tabs>
          <w:tab w:leader="none" w:pos="5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Audit-related Fees. </w:t>
      </w:r>
      <w:r>
        <w:rPr>
          <w:rFonts w:ascii="Times New Roman" w:cs="Times New Roman" w:eastAsia="Times New Roman" w:hAnsi="Times New Roman"/>
          <w:sz w:val="16"/>
          <w:szCs w:val="16"/>
          <w:color w:val="auto"/>
        </w:rPr>
        <w:t>Audit-related fees mean the aggregate fees billed or to be billed in each of the fiscal years listed for the assurance and related services rendered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auditors, which were not included under Audit Fees above.</w:t>
      </w:r>
    </w:p>
    <w:p>
      <w:pPr>
        <w:ind w:left="520" w:right="20" w:hanging="512"/>
        <w:spacing w:after="0" w:line="264" w:lineRule="auto"/>
        <w:tabs>
          <w:tab w:leader="none" w:pos="5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Fees</w:t>
      </w:r>
      <w:r>
        <w:rPr>
          <w:rFonts w:ascii="Times New Roman" w:cs="Times New Roman" w:eastAsia="Times New Roman" w:hAnsi="Times New Roman"/>
          <w:sz w:val="16"/>
          <w:szCs w:val="16"/>
          <w:color w:val="auto"/>
        </w:rPr>
        <w:t>. Tax fees mean the aggregate fees billed in each of the fiscal years for professional services rendered by our principal auditors for tax compliance and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advice.</w:t>
      </w:r>
    </w:p>
    <w:p>
      <w:pPr>
        <w:ind w:left="520" w:hanging="512"/>
        <w:spacing w:after="0"/>
        <w:tabs>
          <w:tab w:leader="none" w:pos="5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All Other Fees</w:t>
      </w:r>
      <w:r>
        <w:rPr>
          <w:rFonts w:ascii="Times New Roman" w:cs="Times New Roman" w:eastAsia="Times New Roman" w:hAnsi="Times New Roman"/>
          <w:sz w:val="16"/>
          <w:szCs w:val="16"/>
          <w:color w:val="auto"/>
        </w:rPr>
        <w:t>. All other fees mean fees incurred from professional services related to non-audit services.</w:t>
      </w:r>
    </w:p>
    <w:p>
      <w:pPr>
        <w:spacing w:after="0" w:line="22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Marcum Asia CPAs LLP, our independent registered public accounting firm, including audit services and other services as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00172E"/>
        </w:rPr>
        <w:t xml:space="preserve">As a company incorporated in the Cayman Islands, we are permitted to adopt certain home country practices in relation to corporate governance matters that differ significantly from Nasdaq corporate governance listing standards. However, our audit committee is required to comply with the provisions of Rule 10A-3 of the Exchange Act, which is applicable to U.S. companies listed on Nasdaq. Therefore, we have a fully independent audit committee in accordance with Rule 10A-3 of the Exchange Act. However, because we are a foreign private issuer, our audit committee is not subject to additional Nasdaq corporate governance requirements applicable to listed U.S. companies, including the requirements to have a minimum of three members and to affirmatively determine that all members are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172E"/>
        </w:rPr>
        <w:t>independent,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172E"/>
        </w:rPr>
        <w:t xml:space="preserve"> using more stringent criteria than those applicable to us as a foreign private issuer.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as defined in Rule 10b-18(a)(3) of the Exchange Act, purchased any of our equity securities during the period covered by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the Form 6-K (File Number 001-42208) filed with the SEC on </w:t>
      </w:r>
      <w:hyperlink r:id="rId206">
        <w:r>
          <w:rPr>
            <w:rFonts w:ascii="Times New Roman" w:cs="Times New Roman" w:eastAsia="Times New Roman" w:hAnsi="Times New Roman"/>
            <w:sz w:val="18"/>
            <w:szCs w:val="18"/>
            <w:u w:val="single" w:color="auto"/>
            <w:color w:val="0000FF"/>
          </w:rPr>
          <w:t>November 12, 2024</w:t>
        </w:r>
      </w:hyperlink>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-7620</wp:posOffset>
            </wp:positionV>
            <wp:extent cx="9105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SEC and Nasdaq rules, we are permitted to follow certain home country governance requirements and exemptions thereunder rather than complying with Nasdaq corporate governance listing standards.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(iii) an audit committee composed of at least three members; (iv) regularly scheduled executive sessions with only independent directors each year and (v) shareholder approval for the adoption of and any material amendment to equity incentive plans. As a result, our shareholders are afforded less protection than they otherwise would enjoy under Nasdaq corporate governance listing standards applicable to U.S. domestic issuers. We may utilize these exemptions for as long as we continue to qualify as a foreign private issuer. See “Item 3. Key Information—3.D. Risk Factors—Risks Related to the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We have filed our insider trading policies, as amended, as Exhibit 11.2 to this annual report on Form 20-F.</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also adopted a compensation recovery policy required by Nasdaq Listing Rule 5608, the form of which is incorporated by reference as Exhibit 97.1 to this annual report on Form 20-F.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services provided by third-party service providers, and facilitate coordination across different departments of our company. This framework includes steps for regularly conducting data protection impact assessments on information systems, monitoring the information about the security vulnerabilities of our systems, identifying the source of a cybersecurity threat including whether the cybersecurity threat is associated with a third-party service provider, implementing data security emergency response plans and adopting remedial measures, and informing management and our board of directors of material cybersecurity threats and incidents. Our cybersecurity team is responsible for assessing our cybersecurity risk management program and we currently do not engage third parties for such assessment. In addition, our cybersecurity team provides training to all key employees for product development regularly.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3" w:name="page104"/>
    <w:bookmarkEnd w:id="10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is charged with oversight of our cybersecurity risk management program. The board is responsible for monitoring the implementation of our risk management policies across our company, ensuring that our company has processes in place designed to identify and evaluate cybersecurity risks to which the company is exposed and implement processes and programs to manage cybersecurity risks and mitigate cybersecurity incidents. The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director of software department, who receives reports from our cybersecurity team and monitors the prevention, detection, mitigation, and remediation of cybersecurity incidents. Our director of software department and dedicated personnel are experienced information systems security professionals and information security managers with years of experience. The management regularly updates the board of directors on the company’s cybersecurity programs, material cybersecurity risks and mitigation strategies and provide cybersecurity reports annually that cover, among other topics, third-party assessments of the company’s cybersecurity programs, developments in cybersecurity and updates to the company’s cybersecurity programs and mitigation strategies.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Factors—Risks Related to Our Business—Computer malware, viruses, ransomware, hacking, phishing attacks and other network disruptions could result in security and privacy breaches, loss of proprietary information and interruption in service, which could adversely affect our business, results of operations, financial condition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of XCHG Limited are included at the end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Third Amended and Restated Memorandum and Articles of Association of the Registrant, as currently in effect (incorporated herein by</w:t>
              </w:r>
            </w:hyperlink>
          </w:p>
        </w:tc>
        <w:tc>
          <w:tcPr>
            <w:tcW w:w="2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reference to Exhibit 3.2 to the registration statement on Form F-1 (File No. 333-276802), as amended, initially filed with the SEC on</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February 1, 2024)</w:t>
              </w:r>
            </w:hyperlink>
          </w:p>
        </w:tc>
        <w:tc>
          <w:tcPr>
            <w:tcW w:w="20" w:type="dxa"/>
            <w:vAlign w:val="bottom"/>
            <w:tcBorders>
              <w:bottom w:val="single" w:sz="8" w:color="0000EE"/>
            </w:tcBorders>
          </w:tcPr>
          <w:p>
            <w:pPr>
              <w:spacing w:after="0"/>
              <w:rPr>
                <w:sz w:val="17"/>
                <w:szCs w:val="17"/>
                <w:color w:val="auto"/>
              </w:rPr>
            </w:pPr>
          </w:p>
        </w:tc>
        <w:tc>
          <w:tcPr>
            <w:tcW w:w="87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Specimen American Depositary Receipt (included in Exhibit 2.3)</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3"/>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Registrant’s Specimen Certificate for Class A Ordinary Shares (incorporated herein by reference to Exhibit 4.2 to the registration</w:t>
              </w:r>
            </w:hyperlink>
          </w:p>
        </w:tc>
        <w:tc>
          <w:tcPr>
            <w:tcW w:w="6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statement on Form F-1 (File No. 333-276802), as amended, initially filed with the SEC on February 1, 2024)</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3"/>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Deposit Agreement, dated September 9, 2024, by and between the Registrant, the depositary and owners and holders of the American</w:t>
              </w:r>
            </w:hyperlink>
          </w:p>
        </w:tc>
        <w:tc>
          <w:tcPr>
            <w:tcW w:w="3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Depositary Shares issued thereunder (incorporated herein by reference to Exhibit 2.3 to the Annual Report on Form 20-F, filed with the</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213">
              <w:r>
                <w:rPr>
                  <w:rFonts w:ascii="Times New Roman" w:cs="Times New Roman" w:eastAsia="Times New Roman" w:hAnsi="Times New Roman"/>
                  <w:sz w:val="18"/>
                  <w:szCs w:val="18"/>
                  <w:color w:val="0000FF"/>
                  <w:w w:val="97"/>
                </w:rPr>
                <w:t>SEC on April 23, 2025)</w:t>
              </w:r>
            </w:hyperlink>
          </w:p>
        </w:tc>
        <w:tc>
          <w:tcPr>
            <w:tcW w:w="83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Description of Securities (incorporated herein by reference to Exhibit 2.4 to the Annual Report on Form 20-F, filed on April 23, 2025)</w:t>
              </w:r>
            </w:hyperlink>
          </w:p>
        </w:tc>
        <w:tc>
          <w:tcPr>
            <w:tcW w:w="20" w:type="dxa"/>
            <w:vAlign w:val="bottom"/>
            <w:tcBorders>
              <w:bottom w:val="single" w:sz="8" w:color="0000EE"/>
            </w:tcBorders>
          </w:tcPr>
          <w:p>
            <w:pPr>
              <w:spacing w:after="0"/>
              <w:rPr>
                <w:sz w:val="21"/>
                <w:szCs w:val="21"/>
                <w:color w:val="auto"/>
              </w:rPr>
            </w:pPr>
          </w:p>
        </w:tc>
        <w:tc>
          <w:tcPr>
            <w:tcW w:w="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The Equity Incentive Plan (The 2023 Share Incentive Plan) (incorporated herein by reference to Exhibit 10.1 to the registration statement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on Form F-1 (File No. 333-276802), as amended, initially filed with the SEC on February 1, 2024)</w:t>
              </w:r>
            </w:hyperlink>
          </w:p>
        </w:tc>
        <w:tc>
          <w:tcPr>
            <w:tcW w:w="2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The Equity Incentive Plan (The 2023 Share Incentive Plan II) (incorporated herein by reference to Exhibit 10.2 to the registration</w:t>
              </w:r>
            </w:hyperlink>
          </w:p>
        </w:tc>
        <w:tc>
          <w:tcPr>
            <w:tcW w:w="6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statement on Form F-1 (File No. 333-276802), as amended, initially filed with the SEC on February 1, 2024)</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60" w:type="dxa"/>
            <w:vAlign w:val="bottom"/>
            <w:tcBorders>
              <w:left w:val="single" w:sz="8" w:color="0000FF"/>
            </w:tcBorders>
            <w:gridSpan w:val="4"/>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The Equity Incentive Plan (The 2025 Share Incentive Plan) (incorporated herein by reference to Exhibit 4.3 to the Annual Report on</w:t>
              </w:r>
            </w:hyperlink>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20-F, filed with the SEC on April 23, 2025)</w:t>
              </w:r>
            </w:hyperlink>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gridSpan w:val="3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60" w:type="dxa"/>
            <w:vAlign w:val="bottom"/>
            <w:tcBorders>
              <w:left w:val="single" w:sz="8" w:color="0000FF"/>
            </w:tcBorders>
            <w:gridSpan w:val="4"/>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Indemnification Agreement with each of the Registrant’s directors and executive officers (incorporated herein by reference to</w:t>
              </w:r>
            </w:hyperlink>
          </w:p>
        </w:tc>
        <w:tc>
          <w:tcPr>
            <w:tcW w:w="2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Exhibit 10.3 to the registration statement on Form F-1 (File No. 333-276802), as amended, initially filed with the SEC on February 1,</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3"/>
          </w:tcPr>
          <w:p>
            <w:pPr>
              <w:ind w:left="180"/>
              <w:spacing w:after="0" w:line="196" w:lineRule="exact"/>
              <w:rPr>
                <w:rFonts w:ascii="Times New Roman" w:cs="Times New Roman" w:eastAsia="Times New Roman" w:hAnsi="Times New Roman"/>
                <w:sz w:val="18"/>
                <w:szCs w:val="18"/>
                <w:color w:val="0000FF"/>
                <w:w w:val="90"/>
              </w:rPr>
            </w:pPr>
            <w:hyperlink r:id="rId218">
              <w:r>
                <w:rPr>
                  <w:rFonts w:ascii="Times New Roman" w:cs="Times New Roman" w:eastAsia="Times New Roman" w:hAnsi="Times New Roman"/>
                  <w:sz w:val="18"/>
                  <w:szCs w:val="18"/>
                  <w:color w:val="0000FF"/>
                  <w:w w:val="90"/>
                </w:rPr>
                <w:t>2024)</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Employment Agreement between the Registrant and an executive officer of the Registrant (incorporated herein by reference to</w:t>
              </w:r>
            </w:hyperlink>
          </w:p>
        </w:tc>
        <w:tc>
          <w:tcPr>
            <w:tcW w:w="2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Exhibit 10.4 to the registration statement on Form F-1 (File No. 333-276802), as amended, initially filed with the SEC on February 1,</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3"/>
          </w:tcPr>
          <w:p>
            <w:pPr>
              <w:ind w:left="180"/>
              <w:spacing w:after="0" w:line="196" w:lineRule="exact"/>
              <w:rPr>
                <w:rFonts w:ascii="Times New Roman" w:cs="Times New Roman" w:eastAsia="Times New Roman" w:hAnsi="Times New Roman"/>
                <w:sz w:val="18"/>
                <w:szCs w:val="18"/>
                <w:color w:val="0000FF"/>
                <w:w w:val="90"/>
              </w:rPr>
            </w:pPr>
            <w:hyperlink r:id="rId219">
              <w:r>
                <w:rPr>
                  <w:rFonts w:ascii="Times New Roman" w:cs="Times New Roman" w:eastAsia="Times New Roman" w:hAnsi="Times New Roman"/>
                  <w:sz w:val="18"/>
                  <w:szCs w:val="18"/>
                  <w:color w:val="0000FF"/>
                  <w:w w:val="90"/>
                </w:rPr>
                <w:t>2024)</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20" w:type="dxa"/>
            <w:vAlign w:val="bottom"/>
            <w:tcBorders>
              <w:left w:val="single" w:sz="8" w:color="0000EE"/>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Investors’ Rights Agreement (incorporated herein by reference to Exhibit 10.5 to the registration statement on Form F-1 (File No. 333-</w:t>
              </w:r>
            </w:hyperlink>
          </w:p>
        </w:tc>
        <w:tc>
          <w:tcPr>
            <w:tcW w:w="2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276802)</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amended, initially filed with the SEC on February 1, 2024)</w:t>
              </w:r>
            </w:hyperlink>
          </w:p>
        </w:tc>
        <w:tc>
          <w:tcPr>
            <w:tcW w:w="20" w:type="dxa"/>
            <w:vAlign w:val="bottom"/>
            <w:tcBorders>
              <w:bottom w:val="single" w:sz="8" w:color="0000EE"/>
            </w:tcBorders>
          </w:tcPr>
          <w:p>
            <w:pPr>
              <w:spacing w:after="0"/>
              <w:rPr>
                <w:sz w:val="17"/>
                <w:szCs w:val="17"/>
                <w:color w:val="auto"/>
              </w:rPr>
            </w:pPr>
          </w:p>
        </w:tc>
        <w:tc>
          <w:tcPr>
            <w:tcW w:w="48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Convertible Note Purchase Agreement (incorporated herein by reference to Exhibit 10.6 to the registration statement on Form F-1 (File</w:t>
              </w:r>
            </w:hyperlink>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No. 333-276802), as amended, initially filed with the SEC on February 1, 2024)</w:t>
              </w:r>
            </w:hyperlink>
          </w:p>
        </w:tc>
        <w:tc>
          <w:tcPr>
            <w:tcW w:w="20" w:type="dxa"/>
            <w:vAlign w:val="bottom"/>
            <w:tcBorders>
              <w:bottom w:val="single" w:sz="8" w:color="0000EE"/>
            </w:tcBorders>
          </w:tcPr>
          <w:p>
            <w:pPr>
              <w:spacing w:after="0"/>
              <w:rPr>
                <w:sz w:val="17"/>
                <w:szCs w:val="17"/>
                <w:color w:val="auto"/>
              </w:rPr>
            </w:pPr>
          </w:p>
        </w:tc>
        <w:tc>
          <w:tcPr>
            <w:tcW w:w="42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English translation of Convertible Loan Investment Agreement (incorporated herein by reference to Exhibit 10.7 to the registration</w:t>
              </w:r>
            </w:hyperlink>
          </w:p>
        </w:tc>
        <w:tc>
          <w:tcPr>
            <w:tcW w:w="54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statement on Form F-1 (File No. 333-276802), as amended, initially filed with the SEC on February 1, 2024)</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Borders>
              <w:right w:val="single" w:sz="8" w:color="0000FF"/>
            </w:tcBorders>
            <w:gridSpan w:val="9"/>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Warrant Subscription Agreement (incorporated herein by reference to Exhibit 10.8 to the registration statement on Form F-1 (File No.</w:t>
              </w:r>
            </w:hyperlink>
          </w:p>
        </w:tc>
        <w:tc>
          <w:tcPr>
            <w:tcW w:w="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333-276802), as amended, initially filed with the SEC on February 1, 2024)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Borders>
              <w:right w:val="single" w:sz="8" w:color="0000EE"/>
            </w:tcBorders>
            <w:gridSpan w:val="9"/>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English translation of Adjustment Agreement on the Convertible Loan Investment (incorporated herein by reference to Exhibit 10.9 to</w:t>
              </w:r>
            </w:hyperlink>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the registration statement on Form F-1 (File No. 333-276802), as amended, initially filed with the SEC on February 1, 2024)</w:t>
              </w:r>
            </w:hyperlink>
          </w:p>
        </w:tc>
        <w:tc>
          <w:tcPr>
            <w:tcW w:w="20" w:type="dxa"/>
            <w:vAlign w:val="bottom"/>
            <w:tcBorders>
              <w:bottom w:val="single" w:sz="8" w:color="0000EE"/>
            </w:tcBorders>
          </w:tcPr>
          <w:p>
            <w:pPr>
              <w:spacing w:after="0"/>
              <w:rPr>
                <w:sz w:val="17"/>
                <w:szCs w:val="17"/>
                <w:color w:val="auto"/>
              </w:rPr>
            </w:pPr>
          </w:p>
        </w:tc>
        <w:tc>
          <w:tcPr>
            <w:tcW w:w="10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Warrant Termination Agreement (incorporated herein by reference to Exhibit 10.10 to the registration statement on Form F-1 (File No.</w:t>
              </w:r>
            </w:hyperlink>
          </w:p>
        </w:tc>
        <w:tc>
          <w:tcPr>
            <w:tcW w:w="2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333-276802), as amended, initially filed with the SEC on February 1, 2024)</w:t>
              </w:r>
            </w:hyperlink>
          </w:p>
        </w:tc>
        <w:tc>
          <w:tcPr>
            <w:tcW w:w="0" w:type="dxa"/>
            <w:vAlign w:val="bottom"/>
          </w:tcPr>
          <w:p>
            <w:pPr>
              <w:spacing w:after="0"/>
              <w:rPr>
                <w:sz w:val="1"/>
                <w:szCs w:val="1"/>
                <w:color w:val="auto"/>
              </w:rPr>
            </w:pPr>
          </w:p>
        </w:tc>
      </w:tr>
      <w:tr>
        <w:trPr>
          <w:trHeight w:val="453"/>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5120" w:type="dxa"/>
            <w:vAlign w:val="bottom"/>
            <w:tcBorders>
              <w:top w:val="single" w:sz="8" w:color="0000FF"/>
            </w:tcBorders>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tbl>
      <w:tblPr>
        <w:tblLayout w:type="fixed"/>
        <w:tblInd w:w="1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XCHG Limited 2026 Share Incentive Plan (incorporated herein by reference to Exhibit 10.2 to Form S-8 (File No. 333-294184) filed</w:t>
              </w:r>
            </w:hyperlink>
          </w:p>
        </w:tc>
        <w:tc>
          <w:tcPr>
            <w:tcW w:w="2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4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with the SEC on March 10, 2026)</w:t>
              </w:r>
            </w:hyperlink>
          </w:p>
        </w:tc>
        <w:tc>
          <w:tcPr>
            <w:tcW w:w="20" w:type="dxa"/>
            <w:vAlign w:val="bottom"/>
            <w:tcBorders>
              <w:bottom w:val="single" w:sz="8" w:color="0000EE"/>
            </w:tcBorders>
          </w:tcPr>
          <w:p>
            <w:pPr>
              <w:spacing w:after="0"/>
              <w:rPr>
                <w:sz w:val="17"/>
                <w:szCs w:val="17"/>
                <w:color w:val="auto"/>
              </w:rPr>
            </w:pPr>
          </w:p>
        </w:tc>
        <w:tc>
          <w:tcPr>
            <w:tcW w:w="7380" w:type="dxa"/>
            <w:vAlign w:val="bottom"/>
            <w:gridSpan w:val="16"/>
          </w:tcPr>
          <w:p>
            <w:pPr>
              <w:spacing w:after="0"/>
              <w:rPr>
                <w:sz w:val="17"/>
                <w:szCs w:val="17"/>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6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Sales Agreement, dated January 30, 2026, by and between the Company and A.G.P./Alliance Global Partners (incorporated herein by</w:t>
              </w:r>
            </w:hyperlink>
          </w:p>
        </w:tc>
        <w:tc>
          <w:tcPr>
            <w:tcW w:w="180" w:type="dxa"/>
            <w:vAlign w:val="bottom"/>
            <w:gridSpan w:val="2"/>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840" w:type="dxa"/>
            <w:vAlign w:val="bottom"/>
            <w:gridSpan w:val="20"/>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reference to Exhibit 10.1 to Form 6-K filed with the SEC on January 30, 2026)</w:t>
              </w:r>
            </w:hyperlink>
          </w:p>
        </w:tc>
      </w:tr>
      <w:tr>
        <w:trPr>
          <w:trHeight w:val="20"/>
        </w:trPr>
        <w:tc>
          <w:tcPr>
            <w:tcW w:w="112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97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Principal Subsidiaries of the Registrant (incorporated herein by reference to Exhibit 8.1 to the Annual Report on Form 20-F, filed with</w:t>
              </w:r>
            </w:hyperlink>
          </w:p>
        </w:tc>
        <w:tc>
          <w:tcPr>
            <w:tcW w:w="10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840" w:type="dxa"/>
            <w:vAlign w:val="bottom"/>
            <w:gridSpan w:val="2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the SEC on April 23, 2026)</w:t>
              </w:r>
            </w:hyperlink>
          </w:p>
        </w:tc>
      </w:tr>
      <w:tr>
        <w:trPr>
          <w:trHeight w:val="20"/>
        </w:trPr>
        <w:tc>
          <w:tcPr>
            <w:tcW w:w="1120" w:type="dxa"/>
            <w:vAlign w:val="bottom"/>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8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Code of Business Conduct and Ethics of the Registrant (incorporated herein by reference to Exhibit 99.1 to the registration statement on</w:t>
              </w:r>
            </w:hyperlink>
          </w:p>
        </w:tc>
      </w:tr>
      <w:tr>
        <w:trPr>
          <w:trHeight w:val="196"/>
        </w:trPr>
        <w:tc>
          <w:tcPr>
            <w:tcW w:w="1120" w:type="dxa"/>
            <w:vAlign w:val="bottom"/>
          </w:tcPr>
          <w:p>
            <w:pPr>
              <w:spacing w:after="0"/>
              <w:rPr>
                <w:sz w:val="17"/>
                <w:szCs w:val="17"/>
                <w:color w:val="auto"/>
              </w:rPr>
            </w:pPr>
          </w:p>
        </w:tc>
        <w:tc>
          <w:tcPr>
            <w:tcW w:w="9840" w:type="dxa"/>
            <w:vAlign w:val="bottom"/>
            <w:gridSpan w:val="2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F-1 (File No. 333-276802), as amended, initially filed with the SEC on February 1, 2024)</w:t>
              </w:r>
            </w:hyperlink>
          </w:p>
        </w:tc>
      </w:tr>
      <w:tr>
        <w:trPr>
          <w:trHeight w:val="20"/>
        </w:trPr>
        <w:tc>
          <w:tcPr>
            <w:tcW w:w="112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9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Statement of Policies Governing Material Non-public Information and the Prevention of Insider Trading (incorporated herein by</w:t>
              </w:r>
            </w:hyperlink>
          </w:p>
        </w:tc>
        <w:tc>
          <w:tcPr>
            <w:tcW w:w="540" w:type="dxa"/>
            <w:vAlign w:val="bottom"/>
            <w:gridSpan w:val="4"/>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840" w:type="dxa"/>
            <w:vAlign w:val="bottom"/>
            <w:gridSpan w:val="20"/>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reference to Exhibit 11.2 to the Annual Report on Form 20-F, filed with the SEC on April 23, 2025)</w:t>
              </w:r>
            </w:hyperlink>
          </w:p>
        </w:tc>
      </w:tr>
      <w:tr>
        <w:trPr>
          <w:trHeight w:val="20"/>
        </w:trPr>
        <w:tc>
          <w:tcPr>
            <w:tcW w:w="112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302 of the Sarbanes-Oxley Act of 2002</w:t>
            </w: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74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360" w:type="dxa"/>
            <w:vAlign w:val="bottom"/>
            <w:gridSpan w:val="5"/>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906 of the Sarbanes-Oxley Act of 2002</w:t>
            </w: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74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 906 of the Sarbanes-Oxley Act of 2002</w:t>
            </w:r>
          </w:p>
        </w:tc>
        <w:tc>
          <w:tcPr>
            <w:tcW w:w="40" w:type="dxa"/>
            <w:vAlign w:val="bottom"/>
            <w:tcBorders>
              <w:top w:val="single" w:sz="8" w:color="0000FF"/>
            </w:tcBorders>
            <w:gridSpan w:val="2"/>
          </w:tcPr>
          <w:p>
            <w:pPr>
              <w:spacing w:after="0"/>
              <w:rPr>
                <w:sz w:val="21"/>
                <w:szCs w:val="21"/>
                <w:color w:val="auto"/>
              </w:rPr>
            </w:pPr>
          </w:p>
        </w:tc>
        <w:tc>
          <w:tcPr>
            <w:tcW w:w="2360" w:type="dxa"/>
            <w:vAlign w:val="bottom"/>
            <w:gridSpan w:val="5"/>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Consent of Fangda Partners</w:t>
            </w:r>
          </w:p>
        </w:tc>
        <w:tc>
          <w:tcPr>
            <w:tcW w:w="20" w:type="dxa"/>
            <w:vAlign w:val="bottom"/>
            <w:tcBorders>
              <w:bottom w:val="single" w:sz="8" w:color="0000EE"/>
            </w:tcBorders>
          </w:tcPr>
          <w:p>
            <w:pPr>
              <w:spacing w:after="0"/>
              <w:rPr>
                <w:sz w:val="21"/>
                <w:szCs w:val="21"/>
                <w:color w:val="auto"/>
              </w:rPr>
            </w:pPr>
          </w:p>
        </w:tc>
        <w:tc>
          <w:tcPr>
            <w:tcW w:w="7820" w:type="dxa"/>
            <w:vAlign w:val="bottom"/>
            <w:gridSpan w:val="18"/>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Maples and Calder (Hong Kong) LLP</w:t>
            </w:r>
          </w:p>
        </w:tc>
      </w:tr>
      <w:tr>
        <w:trPr>
          <w:trHeight w:val="20"/>
        </w:trPr>
        <w:tc>
          <w:tcPr>
            <w:tcW w:w="1120" w:type="dxa"/>
            <w:vAlign w:val="bottom"/>
          </w:tcPr>
          <w:p>
            <w:pPr>
              <w:spacing w:after="0" w:line="20" w:lineRule="exact"/>
              <w:rPr>
                <w:sz w:val="1"/>
                <w:szCs w:val="1"/>
                <w:color w:val="auto"/>
              </w:rPr>
            </w:pPr>
          </w:p>
        </w:tc>
        <w:tc>
          <w:tcPr>
            <w:tcW w:w="3580" w:type="dxa"/>
            <w:vAlign w:val="bottom"/>
            <w:tcBorders>
              <w:right w:val="single" w:sz="8" w:color="0000EE"/>
            </w:tcBorders>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10"/>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4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GORG Partnerschaft von Rechtsanwalten mbB</w:t>
            </w:r>
          </w:p>
        </w:tc>
        <w:tc>
          <w:tcPr>
            <w:tcW w:w="5600" w:type="dxa"/>
            <w:vAlign w:val="bottom"/>
            <w:gridSpan w:val="14"/>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15.4*</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KPMG Huazhen LLP, Independent Registered Public Accounting Firm</w:t>
            </w:r>
          </w:p>
        </w:tc>
      </w:tr>
      <w:tr>
        <w:trPr>
          <w:trHeight w:val="20"/>
        </w:trPr>
        <w:tc>
          <w:tcPr>
            <w:tcW w:w="1120" w:type="dxa"/>
            <w:vAlign w:val="bottom"/>
          </w:tcPr>
          <w:p>
            <w:pPr>
              <w:spacing w:after="0" w:line="20" w:lineRule="exact"/>
              <w:rPr>
                <w:sz w:val="1"/>
                <w:szCs w:val="1"/>
                <w:color w:val="auto"/>
              </w:rPr>
            </w:pPr>
          </w:p>
        </w:tc>
        <w:tc>
          <w:tcPr>
            <w:tcW w:w="59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10"/>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15.5*</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Marcum Asia CPAs LLP, Independent Registered Public Accounting Firm</w:t>
            </w:r>
          </w:p>
        </w:tc>
      </w:tr>
      <w:tr>
        <w:trPr>
          <w:trHeight w:val="20"/>
        </w:trPr>
        <w:tc>
          <w:tcPr>
            <w:tcW w:w="1120" w:type="dxa"/>
            <w:vAlign w:val="bottom"/>
          </w:tcPr>
          <w:p>
            <w:pPr>
              <w:spacing w:after="0" w:line="20" w:lineRule="exact"/>
              <w:rPr>
                <w:sz w:val="1"/>
                <w:szCs w:val="1"/>
                <w:color w:val="auto"/>
              </w:rPr>
            </w:pPr>
          </w:p>
        </w:tc>
        <w:tc>
          <w:tcPr>
            <w:tcW w:w="5920" w:type="dxa"/>
            <w:vAlign w:val="bottom"/>
            <w:tcBorders>
              <w:right w:val="single" w:sz="8" w:color="0000FF"/>
            </w:tcBorders>
            <w:gridSpan w:val="8"/>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600" w:type="dxa"/>
            <w:vAlign w:val="bottom"/>
            <w:gridSpan w:val="10"/>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15.6</w:t>
            </w:r>
          </w:p>
        </w:tc>
        <w:tc>
          <w:tcPr>
            <w:tcW w:w="98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Letter of KPMG Huazhen LLP dated November 12, 2024 (incorporated herein by reference to Exhibit 16.1 to the Form 6-K filed by the</w:t>
              </w:r>
            </w:hyperlink>
          </w:p>
        </w:tc>
      </w:tr>
      <w:tr>
        <w:trPr>
          <w:trHeight w:val="196"/>
        </w:trPr>
        <w:tc>
          <w:tcPr>
            <w:tcW w:w="1120" w:type="dxa"/>
            <w:vAlign w:val="bottom"/>
          </w:tcPr>
          <w:p>
            <w:pPr>
              <w:spacing w:after="0"/>
              <w:rPr>
                <w:sz w:val="17"/>
                <w:szCs w:val="17"/>
                <w:color w:val="auto"/>
              </w:rPr>
            </w:pPr>
          </w:p>
        </w:tc>
        <w:tc>
          <w:tcPr>
            <w:tcW w:w="9840" w:type="dxa"/>
            <w:vAlign w:val="bottom"/>
            <w:gridSpan w:val="20"/>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Registrant with the Securities and Exchange Commission on November 12, 2024)</w:t>
              </w:r>
            </w:hyperlink>
          </w:p>
        </w:tc>
      </w:tr>
      <w:tr>
        <w:trPr>
          <w:trHeight w:val="20"/>
        </w:trPr>
        <w:tc>
          <w:tcPr>
            <w:tcW w:w="112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060"/>
          </w:cols>
          <w:pgMar w:left="320" w:top="1026" w:right="51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97.1</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ind w:right="20"/>
        <w:spacing w:after="0" w:line="261"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Compensation Recoupment Policy of the Registrant (incorporated herein by reference to Exhibit 97.1 to the Annual Report on Form 20-</w:t>
        </w:r>
      </w:hyperlink>
      <w:hyperlink r:id="rId234">
        <w:r>
          <w:rPr>
            <w:rFonts w:ascii="Times New Roman" w:cs="Times New Roman" w:eastAsia="Times New Roman" w:hAnsi="Times New Roman"/>
            <w:sz w:val="18"/>
            <w:szCs w:val="18"/>
            <w:u w:val="single" w:color="auto"/>
            <w:color w:val="0000FF"/>
          </w:rPr>
          <w:t>F, filed with the SEC on April 23,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6231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18472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color w:val="auto"/>
        </w:rPr>
        <w:t>Inline XBRL Instance Document—this instance document does not appear in the Interactive Data File because its XBRL tags embedded within the Inline XBRL document</w:t>
      </w:r>
    </w:p>
    <w:p>
      <w:pPr>
        <w:spacing w:after="0" w:line="1" w:lineRule="exact"/>
        <w:rPr>
          <w:sz w:val="20"/>
          <w:szCs w:val="20"/>
          <w:color w:val="auto"/>
        </w:rPr>
      </w:pPr>
    </w:p>
    <w:p>
      <w:pPr>
        <w:ind w:right="3900"/>
        <w:spacing w:after="0" w:line="386" w:lineRule="auto"/>
        <w:rPr>
          <w:sz w:val="20"/>
          <w:szCs w:val="20"/>
          <w:color w:val="auto"/>
        </w:rPr>
      </w:pPr>
      <w:r>
        <w:rPr>
          <w:rFonts w:ascii="Times New Roman" w:cs="Times New Roman" w:eastAsia="Times New Roman" w:hAnsi="Times New Roman"/>
          <w:sz w:val="18"/>
          <w:szCs w:val="18"/>
          <w:color w:val="auto"/>
        </w:rPr>
        <w:t>Inline XBRL Taxonomy Extension Schema With Embedded Linkbase Documents Cover Page Interactive Data File (embedded within the Inline XBRL document)</w:t>
      </w:r>
    </w:p>
    <w:p>
      <w:pPr>
        <w:spacing w:after="0" w:line="180" w:lineRule="exact"/>
        <w:rPr>
          <w:sz w:val="20"/>
          <w:szCs w:val="20"/>
          <w:color w:val="auto"/>
        </w:rPr>
      </w:pPr>
    </w:p>
    <w:p>
      <w:pPr>
        <w:sectPr>
          <w:pgSz w:w="11900" w:h="16838" w:orient="portrait"/>
          <w:cols w:equalWidth="0" w:num="2">
            <w:col w:w="860" w:space="360"/>
            <w:col w:w="9840"/>
          </w:cols>
          <w:pgMar w:left="320" w:top="1026" w:right="519" w:bottom="1440" w:gutter="0" w:footer="0" w:header="0"/>
          <w:type w:val="continuous"/>
        </w:sect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9" w:lineRule="exact"/>
        <w:rPr>
          <w:sz w:val="20"/>
          <w:szCs w:val="20"/>
          <w:color w:val="auto"/>
        </w:rPr>
      </w:pPr>
    </w:p>
    <w:p>
      <w:pPr>
        <w:ind w:left="5480" w:right="3200" w:hanging="5472"/>
        <w:spacing w:after="0" w:line="511" w:lineRule="auto"/>
        <w:tabs>
          <w:tab w:leader="none" w:pos="3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exhibit has been redacted in accordance with Regulation S-K Item 601(a)(6).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6" w:right="519" w:bottom="1440"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XCHG Limited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Yifei 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 w:lineRule="exact"/>
        <w:rPr>
          <w:sz w:val="20"/>
          <w:szCs w:val="20"/>
          <w:color w:val="auto"/>
        </w:rPr>
      </w:pPr>
    </w:p>
    <w:p>
      <w:pPr>
        <w:ind w:left="7220"/>
        <w:spacing w:after="0"/>
        <w:tabs>
          <w:tab w:leader="none" w:pos="7880" w:val="left"/>
        </w:tabs>
        <w:rPr>
          <w:sz w:val="20"/>
          <w:szCs w:val="20"/>
          <w:color w:val="auto"/>
        </w:rPr>
      </w:pPr>
      <w:r>
        <w:rPr>
          <w:rFonts w:ascii="Times New Roman" w:cs="Times New Roman" w:eastAsia="Times New Roman" w:hAnsi="Times New Roman"/>
          <w:sz w:val="18"/>
          <w:szCs w:val="18"/>
          <w:color w:val="auto"/>
        </w:rPr>
        <w:t>Name:</w:t>
        <w:tab/>
        <w:t>Yifei Hou</w:t>
      </w:r>
    </w:p>
    <w:p>
      <w:pPr>
        <w:spacing w:after="0" w:line="9" w:lineRule="exact"/>
        <w:rPr>
          <w:sz w:val="20"/>
          <w:szCs w:val="20"/>
          <w:color w:val="auto"/>
        </w:rPr>
      </w:pPr>
    </w:p>
    <w:p>
      <w:pPr>
        <w:ind w:left="7220"/>
        <w:spacing w:after="0"/>
        <w:tabs>
          <w:tab w:leader="none" w:pos="7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9820" w:type="dxa"/>
            <w:vAlign w:val="bottom"/>
            <w:gridSpan w:val="8"/>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1420" w:type="dxa"/>
            <w:vAlign w:val="bottom"/>
          </w:tcPr>
          <w:p>
            <w:pPr>
              <w:spacing w:after="0"/>
              <w:rPr>
                <w:sz w:val="20"/>
                <w:szCs w:val="20"/>
                <w:color w:val="auto"/>
              </w:rPr>
            </w:pPr>
          </w:p>
        </w:tc>
      </w:tr>
      <w:tr>
        <w:trPr>
          <w:trHeight w:val="432"/>
        </w:trPr>
        <w:tc>
          <w:tcPr>
            <w:tcW w:w="3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40" w:type="dxa"/>
            <w:vAlign w:val="bottom"/>
            <w:gridSpan w:val="6"/>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XCHG LIMITED</w:t>
            </w:r>
          </w:p>
        </w:tc>
        <w:tc>
          <w:tcPr>
            <w:tcW w:w="1420" w:type="dxa"/>
            <w:vAlign w:val="bottom"/>
          </w:tcPr>
          <w:p>
            <w:pPr>
              <w:spacing w:after="0"/>
              <w:rPr>
                <w:sz w:val="24"/>
                <w:szCs w:val="24"/>
                <w:color w:val="auto"/>
              </w:rPr>
            </w:pPr>
          </w:p>
        </w:tc>
      </w:tr>
      <w:tr>
        <w:trPr>
          <w:trHeight w:val="414"/>
        </w:trPr>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420" w:type="dxa"/>
            <w:vAlign w:val="bottom"/>
          </w:tcPr>
          <w:p>
            <w:pPr>
              <w:spacing w:after="0"/>
              <w:rPr>
                <w:sz w:val="24"/>
                <w:szCs w:val="24"/>
                <w:color w:val="auto"/>
              </w:rPr>
            </w:pPr>
          </w:p>
        </w:tc>
      </w:tr>
      <w:tr>
        <w:trPr>
          <w:trHeight w:val="194"/>
        </w:trPr>
        <w:tc>
          <w:tcPr>
            <w:tcW w:w="79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(Marcum Asia CPAs LLP, Auditor Firm ID: 5395)</w:t>
            </w:r>
          </w:p>
        </w:tc>
        <w:tc>
          <w:tcPr>
            <w:tcW w:w="1880" w:type="dxa"/>
            <w:vAlign w:val="bottom"/>
            <w:gridSpan w:val="3"/>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88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Huazhen LLP, Beijing, China, Auditor Firm ID: 1186)</w:t>
            </w:r>
          </w:p>
        </w:tc>
        <w:tc>
          <w:tcPr>
            <w:tcW w:w="980" w:type="dxa"/>
            <w:vAlign w:val="bottom"/>
            <w:gridSpan w:val="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18"/>
        </w:trPr>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420" w:type="dxa"/>
            <w:vAlign w:val="bottom"/>
          </w:tcPr>
          <w:p>
            <w:pPr>
              <w:spacing w:after="0"/>
              <w:rPr>
                <w:sz w:val="18"/>
                <w:szCs w:val="18"/>
                <w:color w:val="auto"/>
              </w:rPr>
            </w:pPr>
          </w:p>
        </w:tc>
      </w:tr>
      <w:tr>
        <w:trPr>
          <w:trHeight w:val="194"/>
        </w:trPr>
        <w:tc>
          <w:tcPr>
            <w:tcW w:w="98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w:t>
            </w:r>
            <w:r>
              <w:rPr>
                <w:rFonts w:ascii="Times New Roman" w:cs="Times New Roman" w:eastAsia="Times New Roman" w:hAnsi="Times New Roman"/>
                <w:sz w:val="18"/>
                <w:szCs w:val="18"/>
                <w:color w:val="000000"/>
              </w:rPr>
              <w:t>5</w:t>
            </w:r>
          </w:p>
        </w:tc>
        <w:tc>
          <w:tcPr>
            <w:tcW w:w="1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F-4 - F-5</w:t>
            </w:r>
          </w:p>
        </w:tc>
      </w:tr>
      <w:tr>
        <w:trPr>
          <w:trHeight w:val="20"/>
        </w:trPr>
        <w:tc>
          <w:tcPr>
            <w:tcW w:w="3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2023, 2024 and 2025</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34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Shareholders’ (Deficit) Equity for the years ended December 31, 2023, 2024 and 2025</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69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2024 and 2025</w:t>
            </w:r>
          </w:p>
        </w:tc>
        <w:tc>
          <w:tcPr>
            <w:tcW w:w="2180" w:type="dxa"/>
            <w:vAlign w:val="bottom"/>
            <w:tcBorders>
              <w:top w:val="single" w:sz="8" w:color="0000FF"/>
            </w:tcBorders>
            <w:gridSpan w:val="4"/>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9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 F-46</w:t>
            </w:r>
          </w:p>
        </w:tc>
      </w:tr>
      <w:tr>
        <w:trPr>
          <w:trHeight w:val="20"/>
        </w:trPr>
        <w:tc>
          <w:tcPr>
            <w:tcW w:w="34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XCHG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XCHG Limited (the “Company”) as of December 31, 2025 and 2024, the related consolidated statements of comprehensive loss, changes in shareholders’ (deficit)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XCHG Limited: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comprehensive loss, changes in shareholders’ deficit and cash flows of XCHG Limited and subsidiaries (the Company) for the year ended December 31, 2023, and the related notes (collectively, the consolidated financial statements). In our opinion, the consolidated financial statements present fairly, in all material respects, the results of operations of the Company and its cash flows for the year ended December 31, 2023, in conformity with U.S. generally accepted accounting principles.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2(a) to the consolidated financial statements, the redeemable preferred shareholders have rights to request the Company to redeem all of the redeemable preference shares if the Company has not consummated a qualified initial public offering or qualified share sale by September 30, 2024, that raise substantial doubt about its ability to continue as a going concern. Management’s plans in regard to these matters are also described in note 2(a). The consolidated financial statements do not include any adjustments that might result from the outcome of this uncertainty.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2023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2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52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26,773,902</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11,241,534</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2,215,672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7,682,052</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6,497,363</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54,410,523</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37,111,396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969,207</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1,653,733</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Borders>
              <w:bottom w:val="single" w:sz="8" w:color="CFF0FC"/>
            </w:tcBorders>
            <w:shd w:val="clear" w:color="auto" w:fill="CFF0FC"/>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assets</w:t>
            </w:r>
          </w:p>
        </w:tc>
        <w:tc>
          <w:tcPr>
            <w:tcW w:w="5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2,727,275</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5,557,124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57,137,798</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42,668,520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8,811,599</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7,666,956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3,229,431</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189,279</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Amounts to a related party</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5,860,907</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5,513,404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26,187,771</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23,537,854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1,274,314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166,829</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1,441,143</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27,628,914</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24,802,165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-3279775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-3279775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-2439670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-1033780</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-467995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-176530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52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(USD0.00001 par value; 4,258,745,553 shares authorized,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1,636,807,084 and 2,160,310,915 shares issued and outstanding as of December 31, 2024 and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(USD0.00001 par value; 741,254,447 shares authorized, issued and</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 and 2025)</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 in capital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79,883,038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100,820,027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1,975,487</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(52,373,422)</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(84,876,067)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29,508,884</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17,866,355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57,137,798</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42,668,520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20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18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Pr>
          <w:p>
            <w:pPr>
              <w:spacing w:after="0"/>
              <w:rPr>
                <w:sz w:val="12"/>
                <w:szCs w:val="12"/>
                <w:color w:val="auto"/>
              </w:rPr>
            </w:pPr>
          </w:p>
        </w:tc>
        <w:tc>
          <w:tcPr>
            <w:tcW w:w="118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Revenues (including sales to a related party of US$406,373,</w:t>
            </w:r>
          </w:p>
        </w:tc>
        <w:tc>
          <w:tcPr>
            <w:tcW w:w="1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US$1,690,196 and US$753,827 for the years ended December 31, 2023, 2024</w:t>
            </w:r>
          </w:p>
        </w:tc>
        <w:tc>
          <w:tcPr>
            <w:tcW w:w="1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2025, respectively)</w:t>
            </w:r>
          </w:p>
        </w:tc>
        <w:tc>
          <w:tcPr>
            <w:tcW w:w="1200" w:type="dxa"/>
            <w:vAlign w:val="bottom"/>
            <w:shd w:val="clear" w:color="auto" w:fill="CFF0FC"/>
          </w:tcPr>
          <w:p>
            <w:pPr>
              <w:jc w:val="center"/>
              <w:ind w:right="172"/>
              <w:spacing w:after="0"/>
              <w:rPr>
                <w:sz w:val="20"/>
                <w:szCs w:val="20"/>
                <w:color w:val="auto"/>
              </w:rPr>
            </w:pPr>
            <w:r>
              <w:rPr>
                <w:rFonts w:ascii="Times New Roman" w:cs="Times New Roman" w:eastAsia="Times New Roman" w:hAnsi="Times New Roman"/>
                <w:sz w:val="18"/>
                <w:szCs w:val="18"/>
                <w:color w:val="auto"/>
                <w:w w:val="99"/>
              </w:rPr>
              <w:t>19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38,511,652</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42,203,660</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25,100,392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(including purchase from a related party of US$70,698,</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US$428,046 and US$147,611 for the years ended December 31, 2023, 2024</w:t>
            </w: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and 2025, respectively)</w:t>
            </w:r>
          </w:p>
        </w:tc>
        <w:tc>
          <w:tcPr>
            <w:tcW w:w="1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(20,937,827)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(20,980,718)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(13,502,911)</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17,573,825</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21,222,942</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11,597,481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(6,433,317)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(10,342,509)</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(10,704,383)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(4,061,037)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(12,159,086)</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(7,070,839)</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(14,025,391)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(10,790,437)</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(26,558,833)</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(24,519,745)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(33,292,032)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(44,334,055)</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428,066</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38,167</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(6,517,854)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(12,030,923)</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(32,615,853)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200" w:type="dxa"/>
            <w:vAlign w:val="bottom"/>
            <w:shd w:val="clear" w:color="auto" w:fill="CFF0FC"/>
          </w:tcPr>
          <w:p>
            <w:pPr>
              <w:jc w:val="center"/>
              <w:ind w:right="172"/>
              <w:spacing w:after="0"/>
              <w:rPr>
                <w:sz w:val="20"/>
                <w:szCs w:val="20"/>
                <w:color w:val="auto"/>
              </w:rPr>
            </w:pPr>
            <w:r>
              <w:rPr>
                <w:rFonts w:ascii="Times New Roman" w:cs="Times New Roman" w:eastAsia="Times New Roman" w:hAnsi="Times New Roman"/>
                <w:sz w:val="18"/>
                <w:szCs w:val="18"/>
                <w:color w:val="auto"/>
                <w:w w:val="99"/>
              </w:rPr>
              <w:t>12</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(1,472,118)</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(87,836)</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debts</w:t>
            </w:r>
          </w:p>
        </w:tc>
        <w:tc>
          <w:tcPr>
            <w:tcW w:w="12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12</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233,216</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(194,500)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(212,732)</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(214,888)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157,739</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preference shares to redemption value</w:t>
            </w:r>
          </w:p>
        </w:tc>
        <w:tc>
          <w:tcPr>
            <w:tcW w:w="12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(2,377,429)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(1,162,826)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(10,461,069)</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(13,103,362)</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tc>
        <w:tc>
          <w:tcPr>
            <w:tcW w:w="1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151,122</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(82,108)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(7,040,127)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(11,789,414)</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(32,584,753)</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r>
              <w:rPr>
                <w:rFonts w:ascii="Times New Roman" w:cs="Times New Roman" w:eastAsia="Times New Roman" w:hAnsi="Times New Roman"/>
                <w:sz w:val="18"/>
                <w:szCs w:val="18"/>
                <w:color w:val="auto"/>
              </w:rPr>
              <w:t>Basic and diluted</w:t>
            </w:r>
          </w:p>
        </w:tc>
        <w:tc>
          <w:tcPr>
            <w:tcW w:w="12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Class A and Class B ordinary share–</w:t>
            </w:r>
            <w:r>
              <w:rPr>
                <w:rFonts w:ascii="Times New Roman" w:cs="Times New Roman" w:eastAsia="Times New Roman" w:hAnsi="Times New Roman"/>
                <w:sz w:val="18"/>
                <w:szCs w:val="18"/>
                <w:color w:val="auto"/>
              </w:rPr>
              <w:t>Basic and diluted</w:t>
            </w:r>
          </w:p>
        </w:tc>
        <w:tc>
          <w:tcPr>
            <w:tcW w:w="1200" w:type="dxa"/>
            <w:vAlign w:val="bottom"/>
            <w:shd w:val="clear" w:color="auto" w:fill="CFF0FC"/>
          </w:tcPr>
          <w:p>
            <w:pPr>
              <w:jc w:val="center"/>
              <w:ind w:right="172"/>
              <w:spacing w:after="0"/>
              <w:rPr>
                <w:sz w:val="20"/>
                <w:szCs w:val="20"/>
                <w:color w:val="auto"/>
              </w:rPr>
            </w:pPr>
            <w:r>
              <w:rPr>
                <w:rFonts w:ascii="Times New Roman" w:cs="Times New Roman" w:eastAsia="Times New Roman" w:hAnsi="Times New Roman"/>
                <w:sz w:val="18"/>
                <w:szCs w:val="18"/>
                <w:color w:val="auto"/>
                <w:w w:val="99"/>
              </w:rPr>
              <w:t>17</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432"/>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number of ordinary shares– </w:t>
            </w:r>
            <w:r>
              <w:rPr>
                <w:rFonts w:ascii="Times New Roman" w:cs="Times New Roman" w:eastAsia="Times New Roman" w:hAnsi="Times New Roman"/>
                <w:sz w:val="18"/>
                <w:szCs w:val="18"/>
                <w:color w:val="auto"/>
              </w:rPr>
              <w:t>Basic and diluted</w:t>
            </w:r>
          </w:p>
        </w:tc>
        <w:tc>
          <w:tcPr>
            <w:tcW w:w="12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713,323,788</w:t>
            </w:r>
          </w:p>
        </w:tc>
        <w:tc>
          <w:tcPr>
            <w:tcW w:w="22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Weighted average number of Class A and Class B ordinary shares – </w:t>
            </w:r>
            <w:r>
              <w:rPr>
                <w:rFonts w:ascii="Times New Roman" w:cs="Times New Roman" w:eastAsia="Times New Roman" w:hAnsi="Times New Roman"/>
                <w:sz w:val="18"/>
                <w:szCs w:val="18"/>
                <w:color w:val="auto"/>
              </w:rPr>
              <w:t>Basic</w:t>
            </w:r>
          </w:p>
        </w:tc>
        <w:tc>
          <w:tcPr>
            <w:tcW w:w="1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1,287,213,76</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200" w:type="dxa"/>
            <w:vAlign w:val="bottom"/>
            <w:shd w:val="clear" w:color="auto" w:fill="CFF0FC"/>
          </w:tcPr>
          <w:p>
            <w:pPr>
              <w:jc w:val="center"/>
              <w:ind w:right="172"/>
              <w:spacing w:after="0"/>
              <w:rPr>
                <w:sz w:val="20"/>
                <w:szCs w:val="20"/>
                <w:color w:val="auto"/>
              </w:rPr>
            </w:pPr>
            <w:r>
              <w:rPr>
                <w:rFonts w:ascii="Times New Roman" w:cs="Times New Roman" w:eastAsia="Times New Roman" w:hAnsi="Times New Roman"/>
                <w:sz w:val="18"/>
                <w:szCs w:val="18"/>
                <w:color w:val="auto"/>
                <w:w w:val="99"/>
              </w:rPr>
              <w:t>17</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2,796,963,888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-3813810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-3813810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-3256915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-3256915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-2965450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-2965450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-1833880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-1833880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-1550670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-1550670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-984885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-984885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-967740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40" w:type="dxa"/>
            <w:vAlign w:val="bottom"/>
            <w:gridSpan w:val="2"/>
            <w:vMerge w:val="restart"/>
          </w:tcPr>
          <w:p>
            <w:pPr>
              <w:jc w:val="center"/>
              <w:ind w:left="538"/>
              <w:spacing w:after="0"/>
              <w:rPr>
                <w:sz w:val="20"/>
                <w:szCs w:val="20"/>
                <w:color w:val="auto"/>
              </w:rPr>
            </w:pPr>
            <w:r>
              <w:rPr>
                <w:rFonts w:ascii="Times New Roman" w:cs="Times New Roman" w:eastAsia="Times New Roman" w:hAnsi="Times New Roman"/>
                <w:sz w:val="12"/>
                <w:szCs w:val="12"/>
                <w:b w:val="1"/>
                <w:bCs w:val="1"/>
                <w:color w:val="auto"/>
                <w:w w:val="98"/>
              </w:rPr>
              <w:t>Ordinary</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Series Seed</w:t>
            </w:r>
          </w:p>
        </w:tc>
        <w:tc>
          <w:tcPr>
            <w:tcW w:w="2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preference</w:t>
            </w:r>
          </w:p>
        </w:tc>
        <w:tc>
          <w:tcPr>
            <w:tcW w:w="20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220" w:type="dxa"/>
            <w:vAlign w:val="bottom"/>
          </w:tcPr>
          <w:p>
            <w:pPr>
              <w:spacing w:after="0"/>
              <w:rPr>
                <w:sz w:val="10"/>
                <w:szCs w:val="10"/>
                <w:color w:val="auto"/>
              </w:rPr>
            </w:pPr>
          </w:p>
        </w:tc>
        <w:tc>
          <w:tcPr>
            <w:tcW w:w="11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80" w:type="dxa"/>
            <w:vAlign w:val="bottom"/>
          </w:tcPr>
          <w:p>
            <w:pPr>
              <w:spacing w:after="0"/>
              <w:rPr>
                <w:sz w:val="12"/>
                <w:szCs w:val="12"/>
                <w:color w:val="auto"/>
              </w:rPr>
            </w:pPr>
          </w:p>
        </w:tc>
        <w:tc>
          <w:tcPr>
            <w:tcW w:w="1240" w:type="dxa"/>
            <w:vAlign w:val="bottom"/>
            <w:tcBorders>
              <w:bottom w:val="single" w:sz="8" w:color="auto"/>
            </w:tcBorders>
            <w:gridSpan w:val="2"/>
          </w:tcPr>
          <w:p>
            <w:pPr>
              <w:jc w:val="center"/>
              <w:ind w:left="558"/>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0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income</w:t>
            </w:r>
          </w:p>
        </w:tc>
        <w:tc>
          <w:tcPr>
            <w:tcW w:w="22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deficit</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Shareholders’ deficit</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000" w:type="dxa"/>
            <w:vAlign w:val="bottom"/>
            <w:tcBorders>
              <w:bottom w:val="single" w:sz="8" w:color="auto"/>
            </w:tcBorders>
          </w:tcPr>
          <w:p>
            <w:pPr>
              <w:jc w:val="right"/>
              <w:ind w:right="238"/>
              <w:spacing w:after="0" w:line="129" w:lineRule="exact"/>
              <w:rPr>
                <w:sz w:val="20"/>
                <w:szCs w:val="20"/>
                <w:color w:val="auto"/>
              </w:rPr>
            </w:pPr>
            <w:r>
              <w:rPr>
                <w:rFonts w:ascii="Times New Roman" w:cs="Times New Roman" w:eastAsia="Times New Roman" w:hAnsi="Times New Roman"/>
                <w:sz w:val="12"/>
                <w:szCs w:val="12"/>
                <w:b w:val="1"/>
                <w:bCs w:val="1"/>
                <w:color w:val="auto"/>
              </w:rPr>
              <w:t>Number</w:t>
            </w:r>
          </w:p>
        </w:tc>
        <w:tc>
          <w:tcPr>
            <w:tcW w:w="240" w:type="dxa"/>
            <w:vAlign w:val="bottom"/>
          </w:tcPr>
          <w:p>
            <w:pPr>
              <w:spacing w:after="0"/>
              <w:rPr>
                <w:sz w:val="11"/>
                <w:szCs w:val="11"/>
                <w:color w:val="auto"/>
              </w:rPr>
            </w:pPr>
          </w:p>
        </w:tc>
        <w:tc>
          <w:tcPr>
            <w:tcW w:w="620" w:type="dxa"/>
            <w:vAlign w:val="bottom"/>
            <w:tcBorders>
              <w:bottom w:val="single" w:sz="8" w:color="auto"/>
            </w:tcBorders>
          </w:tcPr>
          <w:p>
            <w:pPr>
              <w:jc w:val="right"/>
              <w:ind w:right="38"/>
              <w:spacing w:after="0" w:line="129" w:lineRule="exact"/>
              <w:rPr>
                <w:sz w:val="20"/>
                <w:szCs w:val="20"/>
                <w:color w:val="auto"/>
              </w:rPr>
            </w:pPr>
            <w:r>
              <w:rPr>
                <w:rFonts w:ascii="Times New Roman" w:cs="Times New Roman" w:eastAsia="Times New Roman" w:hAnsi="Times New Roman"/>
                <w:sz w:val="12"/>
                <w:szCs w:val="12"/>
                <w:b w:val="1"/>
                <w:bCs w:val="1"/>
                <w:color w:val="auto"/>
              </w:rPr>
              <w:t>Amounts</w:t>
            </w:r>
          </w:p>
        </w:tc>
        <w:tc>
          <w:tcPr>
            <w:tcW w:w="22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8"/>
              </w:rPr>
              <w:t>Amounts</w:t>
            </w:r>
          </w:p>
        </w:tc>
        <w:tc>
          <w:tcPr>
            <w:tcW w:w="20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4"/>
              </w:rPr>
              <w:t>Amounts</w:t>
            </w:r>
          </w:p>
        </w:tc>
        <w:tc>
          <w:tcPr>
            <w:tcW w:w="22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8"/>
              </w:rPr>
              <w:t>Amounts</w:t>
            </w:r>
          </w:p>
        </w:tc>
        <w:tc>
          <w:tcPr>
            <w:tcW w:w="22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8"/>
              </w:rPr>
              <w:t>Amounts</w:t>
            </w:r>
          </w:p>
        </w:tc>
        <w:tc>
          <w:tcPr>
            <w:tcW w:w="220" w:type="dxa"/>
            <w:vAlign w:val="bottom"/>
          </w:tcPr>
          <w:p>
            <w:pPr>
              <w:spacing w:after="0"/>
              <w:rPr>
                <w:sz w:val="11"/>
                <w:szCs w:val="11"/>
                <w:color w:val="auto"/>
              </w:rPr>
            </w:pPr>
          </w:p>
        </w:tc>
        <w:tc>
          <w:tcPr>
            <w:tcW w:w="10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8"/>
              </w:rPr>
              <w:t>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656,200,500</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6,562</w:t>
            </w:r>
          </w:p>
        </w:tc>
        <w:tc>
          <w:tcPr>
            <w:tcW w:w="1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2,000,000</w:t>
            </w:r>
          </w:p>
        </w:tc>
        <w:tc>
          <w:tcPr>
            <w:tcW w:w="2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780,852</w:t>
            </w:r>
          </w:p>
        </w:tc>
        <w:tc>
          <w:tcPr>
            <w:tcW w:w="1400" w:type="dxa"/>
            <w:vAlign w:val="bottom"/>
            <w:gridSpan w:val="3"/>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(30,833,430)</w:t>
            </w:r>
          </w:p>
        </w:tc>
        <w:tc>
          <w:tcPr>
            <w:tcW w:w="11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(28,046,016)</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Cumulative effect of adoption of ASC 326</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(29,923)</w:t>
            </w:r>
          </w:p>
        </w:tc>
        <w:tc>
          <w:tcPr>
            <w:tcW w:w="11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(29,923)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656,200,500</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6,562</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2,000,000</w:t>
            </w: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780,852</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(30,863,353)</w:t>
            </w:r>
          </w:p>
        </w:tc>
        <w:tc>
          <w:tcPr>
            <w:tcW w:w="11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(28,075,939)</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(8,083,640)</w:t>
            </w:r>
          </w:p>
        </w:tc>
        <w:tc>
          <w:tcPr>
            <w:tcW w:w="11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(8,083,640)</w:t>
            </w: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unvested shares</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150,000,000</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7,455,300</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7,456,800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Accretion of redeemable preference shares to</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(2,377,429)</w:t>
            </w:r>
          </w:p>
        </w:tc>
        <w:tc>
          <w:tcPr>
            <w:tcW w:w="0" w:type="dxa"/>
            <w:vAlign w:val="bottom"/>
          </w:tcPr>
          <w:p>
            <w:pPr>
              <w:spacing w:after="0"/>
              <w:rPr>
                <w:sz w:val="1"/>
                <w:szCs w:val="1"/>
                <w:color w:val="auto"/>
              </w:rPr>
            </w:pPr>
          </w:p>
        </w:tc>
      </w:tr>
      <w:tr>
        <w:trPr>
          <w:trHeight w:val="153"/>
        </w:trPr>
        <w:tc>
          <w:tcPr>
            <w:tcW w:w="3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redemption value</w:t>
            </w:r>
          </w:p>
        </w:tc>
        <w:tc>
          <w:tcPr>
            <w:tcW w:w="12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(891,536)</w:t>
            </w:r>
          </w:p>
        </w:tc>
        <w:tc>
          <w:tcPr>
            <w:tcW w:w="960" w:type="dxa"/>
            <w:vAlign w:val="bottom"/>
            <w:vMerge w:val="continue"/>
          </w:tcPr>
          <w:p>
            <w:pPr>
              <w:spacing w:after="0"/>
              <w:rPr>
                <w:sz w:val="13"/>
                <w:szCs w:val="13"/>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(1,485,893)</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 net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restart"/>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1,043,513</w:t>
            </w:r>
          </w:p>
        </w:tc>
        <w:tc>
          <w:tcPr>
            <w:tcW w:w="22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1,043,513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80" w:type="dxa"/>
            <w:vAlign w:val="bottom"/>
            <w:tcBorders>
              <w:bottom w:val="single" w:sz="8" w:color="CFF0FC"/>
            </w:tcBorders>
            <w:shd w:val="clear" w:color="auto" w:fill="CFF0FC"/>
          </w:tcPr>
          <w:p>
            <w:pPr>
              <w:ind w:left="40"/>
              <w:spacing w:after="0" w:line="140" w:lineRule="exact"/>
              <w:rPr>
                <w:sz w:val="20"/>
                <w:szCs w:val="20"/>
                <w:color w:val="auto"/>
              </w:rPr>
            </w:pPr>
            <w:r>
              <w:rPr>
                <w:rFonts w:ascii="Times New Roman" w:cs="Times New Roman" w:eastAsia="Times New Roman" w:hAnsi="Times New Roman"/>
                <w:sz w:val="13"/>
                <w:szCs w:val="13"/>
                <w:color w:val="auto"/>
              </w:rPr>
              <w:t>of nil income taxes</w:t>
            </w: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9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0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806,200,500</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8,062</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2,000,000</w:t>
            </w:r>
          </w:p>
        </w:tc>
        <w:tc>
          <w:tcPr>
            <w:tcW w:w="1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6,563,764</w:t>
            </w:r>
          </w:p>
        </w:tc>
        <w:tc>
          <w:tcPr>
            <w:tcW w:w="22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1,824,365</w:t>
            </w:r>
          </w:p>
        </w:tc>
        <w:tc>
          <w:tcPr>
            <w:tcW w:w="1400" w:type="dxa"/>
            <w:vAlign w:val="bottom"/>
            <w:gridSpan w:val="3"/>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(40,432,886)</w:t>
            </w:r>
          </w:p>
        </w:tc>
        <w:tc>
          <w:tcPr>
            <w:tcW w:w="11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(30,036,695)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-119380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-119380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-119380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-119380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-119380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Accumulate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vMerge w:val="restart"/>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rPr>
              <w:t>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7"/>
              </w:rPr>
              <w:t>Series Seed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other</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2260" w:type="dxa"/>
            <w:vAlign w:val="bottom"/>
          </w:tcPr>
          <w:p>
            <w:pPr>
              <w:spacing w:after="0"/>
              <w:rPr>
                <w:sz w:val="10"/>
                <w:szCs w:val="10"/>
                <w:color w:val="auto"/>
              </w:rPr>
            </w:pPr>
          </w:p>
        </w:tc>
        <w:tc>
          <w:tcPr>
            <w:tcW w:w="1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Class A Ordinary</w:t>
            </w:r>
          </w:p>
        </w:tc>
        <w:tc>
          <w:tcPr>
            <w:tcW w:w="240" w:type="dxa"/>
            <w:vAlign w:val="bottom"/>
          </w:tcPr>
          <w:p>
            <w:pPr>
              <w:spacing w:after="0"/>
              <w:rPr>
                <w:sz w:val="10"/>
                <w:szCs w:val="10"/>
                <w:color w:val="auto"/>
              </w:rPr>
            </w:pP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Class B Ordinary</w:t>
            </w:r>
          </w:p>
        </w:tc>
        <w:tc>
          <w:tcPr>
            <w:tcW w:w="2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Ordinary</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Shareholders</w:t>
            </w: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5"/>
              </w:rPr>
              <w:t>preference</w:t>
            </w: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6"/>
              </w:rPr>
              <w:t>comprehens</w:t>
            </w: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Accumulate</w:t>
            </w:r>
          </w:p>
        </w:tc>
        <w:tc>
          <w:tcPr>
            <w:tcW w:w="8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4"/>
              </w:rPr>
              <w:t>' (deficit)</w:t>
            </w:r>
          </w:p>
        </w:tc>
        <w:tc>
          <w:tcPr>
            <w:tcW w:w="0" w:type="dxa"/>
            <w:vAlign w:val="bottom"/>
          </w:tcPr>
          <w:p>
            <w:pPr>
              <w:spacing w:after="0"/>
              <w:rPr>
                <w:sz w:val="1"/>
                <w:szCs w:val="1"/>
                <w:color w:val="auto"/>
              </w:rPr>
            </w:pPr>
          </w:p>
        </w:tc>
      </w:tr>
      <w:tr>
        <w:trPr>
          <w:trHeight w:val="145"/>
        </w:trPr>
        <w:tc>
          <w:tcPr>
            <w:tcW w:w="2260" w:type="dxa"/>
            <w:vAlign w:val="bottom"/>
          </w:tcPr>
          <w:p>
            <w:pPr>
              <w:spacing w:after="0"/>
              <w:rPr>
                <w:sz w:val="12"/>
                <w:szCs w:val="12"/>
                <w:color w:val="auto"/>
              </w:rPr>
            </w:pPr>
          </w:p>
        </w:tc>
        <w:tc>
          <w:tcPr>
            <w:tcW w:w="1000" w:type="dxa"/>
            <w:vAlign w:val="bottom"/>
            <w:tcBorders>
              <w:bottom w:val="single" w:sz="8" w:color="auto"/>
            </w:tcBorders>
            <w:gridSpan w:val="2"/>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gridSpan w:val="2"/>
          </w:tcPr>
          <w:p>
            <w:pPr>
              <w:jc w:val="center"/>
              <w:ind w:left="418"/>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paid-in</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ive income</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 deficit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18"/>
        </w:trPr>
        <w:tc>
          <w:tcPr>
            <w:tcW w:w="2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4"/>
              </w:rPr>
              <w:t>Amoun</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60" w:type="dxa"/>
            <w:vAlign w:val="bottom"/>
          </w:tcPr>
          <w:p>
            <w:pPr>
              <w:spacing w:after="0"/>
              <w:rPr>
                <w:sz w:val="12"/>
                <w:szCs w:val="12"/>
                <w:color w:val="auto"/>
              </w:rPr>
            </w:pPr>
          </w:p>
        </w:tc>
        <w:tc>
          <w:tcPr>
            <w:tcW w:w="7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s</w:t>
            </w:r>
          </w:p>
        </w:tc>
        <w:tc>
          <w:tcPr>
            <w:tcW w:w="240" w:type="dxa"/>
            <w:vAlign w:val="bottom"/>
          </w:tcPr>
          <w:p>
            <w:pPr>
              <w:spacing w:after="0"/>
              <w:rPr>
                <w:sz w:val="12"/>
                <w:szCs w:val="12"/>
                <w:color w:val="auto"/>
              </w:rPr>
            </w:pPr>
          </w:p>
        </w:tc>
        <w:tc>
          <w:tcPr>
            <w:tcW w:w="6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4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Amounts</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ts</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Amounts</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Amounts</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Amounts</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806,200,5</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8,06</w:t>
            </w:r>
          </w:p>
        </w:tc>
        <w:tc>
          <w:tcPr>
            <w:tcW w:w="2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(40,432,8</w:t>
            </w: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(30,036,69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00</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2,000,000</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6,563,764</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1,824,365</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86)</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w:t>
            </w:r>
          </w:p>
        </w:tc>
        <w:tc>
          <w:tcPr>
            <w:tcW w:w="0" w:type="dxa"/>
            <w:vAlign w:val="bottom"/>
          </w:tcPr>
          <w:p>
            <w:pPr>
              <w:spacing w:after="0"/>
              <w:rPr>
                <w:sz w:val="1"/>
                <w:szCs w:val="1"/>
                <w:color w:val="auto"/>
              </w:rPr>
            </w:pPr>
          </w:p>
        </w:tc>
      </w:tr>
      <w:tr>
        <w:trPr>
          <w:trHeight w:val="117"/>
        </w:trPr>
        <w:tc>
          <w:tcPr>
            <w:tcW w:w="2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Net loss</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(11,940,5</w:t>
            </w:r>
          </w:p>
        </w:tc>
        <w:tc>
          <w:tcPr>
            <w:tcW w:w="20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(11,940,53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17"/>
        </w:trPr>
        <w:tc>
          <w:tcPr>
            <w:tcW w:w="22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Accretion of redeemable preference</w:t>
            </w:r>
          </w:p>
        </w:tc>
        <w:tc>
          <w:tcPr>
            <w:tcW w:w="10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(1,162,82</w:t>
            </w: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to redemption value</w:t>
            </w:r>
          </w:p>
        </w:tc>
        <w:tc>
          <w:tcPr>
            <w:tcW w:w="1000" w:type="dxa"/>
            <w:vAlign w:val="bottom"/>
            <w:gridSpan w:val="2"/>
            <w:vMerge w:val="continue"/>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(1,162,826)</w:t>
            </w:r>
          </w:p>
        </w:tc>
        <w:tc>
          <w:tcPr>
            <w:tcW w:w="0" w:type="dxa"/>
            <w:vAlign w:val="bottom"/>
          </w:tcPr>
          <w:p>
            <w:pPr>
              <w:spacing w:after="0"/>
              <w:rPr>
                <w:sz w:val="1"/>
                <w:szCs w:val="1"/>
                <w:color w:val="auto"/>
              </w:rPr>
            </w:pPr>
          </w:p>
        </w:tc>
      </w:tr>
      <w:tr>
        <w:trPr>
          <w:trHeight w:val="117"/>
        </w:trPr>
        <w:tc>
          <w:tcPr>
            <w:tcW w:w="2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preference shares</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immediately prior to the completion of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1,433,372,1</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14,33</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(2,000,00</w:t>
            </w: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52,683,04</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IPO</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50,697,376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Re-designation of ordinary shares into</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class A and class B Ordinary shares</w:t>
            </w: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immediately prior to the completion of</w:t>
            </w: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741,254,4</w:t>
            </w: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(806,200,</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(8,06</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IPO</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64,946,053</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7,413</w:t>
            </w:r>
          </w:p>
        </w:tc>
        <w:tc>
          <w:tcPr>
            <w:tcW w:w="10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500)</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 issuance upon initial public</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offering and followed offering, net of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138,488,92</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14,825,49</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 of US$4,264,457</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14,826,880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6,973,563</w:t>
            </w: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6,973,563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net of nil income taxes</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151,122</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1,636,807,0</w:t>
            </w: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16,36</w:t>
            </w:r>
          </w:p>
        </w:tc>
        <w:tc>
          <w:tcPr>
            <w:tcW w:w="9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741,254,4</w:t>
            </w: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79,883,03</w:t>
            </w:r>
          </w:p>
        </w:tc>
        <w:tc>
          <w:tcPr>
            <w:tcW w:w="2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(52,373,4</w:t>
            </w: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7,413</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1,975,487</w:t>
            </w: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29,508,884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26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FF0FC"/>
            </w:tcBorders>
            <w:vMerge w:val="restart"/>
          </w:tcPr>
          <w:p>
            <w:pPr>
              <w:spacing w:after="0"/>
              <w:rPr>
                <w:sz w:val="8"/>
                <w:szCs w:val="8"/>
                <w:color w:val="auto"/>
              </w:rPr>
            </w:pP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CFF0FC"/>
            </w:tcBorders>
            <w:vMerge w:val="restart"/>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FF0FC"/>
            </w:tcBorders>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(32,502,6</w:t>
            </w:r>
          </w:p>
        </w:tc>
        <w:tc>
          <w:tcPr>
            <w:tcW w:w="200" w:type="dxa"/>
            <w:vAlign w:val="bottom"/>
            <w:tcBorders>
              <w:top w:val="single" w:sz="8" w:color="CFF0FC"/>
            </w:tcBorders>
          </w:tcPr>
          <w:p>
            <w:pPr>
              <w:spacing w:after="0"/>
              <w:rPr>
                <w:sz w:val="8"/>
                <w:szCs w:val="8"/>
                <w:color w:val="auto"/>
              </w:rPr>
            </w:pPr>
          </w:p>
        </w:tc>
        <w:tc>
          <w:tcPr>
            <w:tcW w:w="7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(32,502,64</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17"/>
        </w:trPr>
        <w:tc>
          <w:tcPr>
            <w:tcW w:w="22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20,942,22</w:t>
            </w: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20,942,224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 issuance from vest of restricted</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523,503,83</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shares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continue"/>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(5,235)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2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of nil income taxes</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(82,108)</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(82,108)</w:t>
            </w:r>
          </w:p>
        </w:tc>
        <w:tc>
          <w:tcPr>
            <w:tcW w:w="0" w:type="dxa"/>
            <w:vAlign w:val="bottom"/>
          </w:tcPr>
          <w:p>
            <w:pPr>
              <w:spacing w:after="0"/>
              <w:rPr>
                <w:sz w:val="1"/>
                <w:szCs w:val="1"/>
                <w:color w:val="auto"/>
              </w:rPr>
            </w:pPr>
          </w:p>
        </w:tc>
      </w:tr>
      <w:tr>
        <w:trPr>
          <w:trHeight w:val="115"/>
        </w:trPr>
        <w:tc>
          <w:tcPr>
            <w:tcW w:w="226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2,160,310,9</w:t>
            </w:r>
          </w:p>
        </w:tc>
        <w:tc>
          <w:tcPr>
            <w:tcW w:w="240" w:type="dxa"/>
            <w:vAlign w:val="bottom"/>
          </w:tcPr>
          <w:p>
            <w:pPr>
              <w:spacing w:after="0"/>
              <w:rPr>
                <w:sz w:val="9"/>
                <w:szCs w:val="9"/>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21,60</w:t>
            </w:r>
          </w:p>
        </w:tc>
        <w:tc>
          <w:tcPr>
            <w:tcW w:w="9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741,254,4</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100,820,0</w:t>
            </w: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(84,876,0</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7,413</w:t>
            </w:r>
          </w:p>
        </w:tc>
        <w:tc>
          <w:tcPr>
            <w:tcW w:w="2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1,893,379</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67)</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17,866,355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-908050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-890905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-908050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-890905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-908050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-890905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-908050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-890905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-908050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-890905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-908050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-890905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-908050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-890905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-908050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-890905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-908050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-890905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-908050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-890905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60" w:type="dxa"/>
            <w:vAlign w:val="bottom"/>
          </w:tcPr>
          <w:p>
            <w:pPr>
              <w:spacing w:after="0"/>
              <w:rPr>
                <w:sz w:val="13"/>
                <w:szCs w:val="13"/>
                <w:color w:val="auto"/>
              </w:rPr>
            </w:pPr>
          </w:p>
        </w:tc>
        <w:tc>
          <w:tcPr>
            <w:tcW w:w="3480" w:type="dxa"/>
            <w:vAlign w:val="bottom"/>
            <w:tcBorders>
              <w:bottom w:val="single" w:sz="8" w:color="auto"/>
            </w:tcBorders>
            <w:gridSpan w:val="5"/>
          </w:tcPr>
          <w:p>
            <w:pPr>
              <w:jc w:val="center"/>
              <w:ind w:left="1017"/>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1400" w:type="dxa"/>
            <w:vAlign w:val="bottom"/>
            <w:tcBorders>
              <w:bottom w:val="single" w:sz="8" w:color="auto"/>
            </w:tcBorders>
          </w:tcPr>
          <w:p>
            <w:pPr>
              <w:jc w:val="right"/>
              <w:ind w:right="5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400" w:type="dxa"/>
            <w:vAlign w:val="bottom"/>
            <w:tcBorders>
              <w:bottom w:val="single" w:sz="8" w:color="auto"/>
            </w:tcBorders>
          </w:tcPr>
          <w:p>
            <w:pPr>
              <w:jc w:val="right"/>
              <w:ind w:right="5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(8,083,640)</w:t>
            </w: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(11,940,536)</w:t>
            </w: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(32,502,645)</w:t>
            </w:r>
          </w:p>
        </w:tc>
        <w:tc>
          <w:tcPr>
            <w:tcW w:w="0" w:type="dxa"/>
            <w:vAlign w:val="bottom"/>
          </w:tcPr>
          <w:p>
            <w:pPr>
              <w:spacing w:after="0"/>
              <w:rPr>
                <w:sz w:val="1"/>
                <w:szCs w:val="1"/>
                <w:color w:val="auto"/>
              </w:rPr>
            </w:pPr>
          </w:p>
        </w:tc>
      </w:tr>
      <w:tr>
        <w:trPr>
          <w:trHeight w:val="115"/>
        </w:trPr>
        <w:tc>
          <w:tcPr>
            <w:tcW w:w="6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used in operating</w:t>
            </w:r>
          </w:p>
        </w:tc>
        <w:tc>
          <w:tcPr>
            <w:tcW w:w="1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i w:val="1"/>
                <w:iCs w:val="1"/>
                <w:color w:val="auto"/>
              </w:rPr>
              <w:t>activities</w:t>
            </w:r>
          </w:p>
        </w:tc>
        <w:tc>
          <w:tcPr>
            <w:tcW w:w="1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Allowance for credit losses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185,283</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127,263</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824,520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7,456,800</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7,030,846</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20,942,224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Write-down of inventories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155,600</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43,190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202,884</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232,918</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275,252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Reduction in the carrying amount of right-of-use assets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318,393</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421,214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526,732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Loss on disposal of property and equipment</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2,044</w:t>
            </w:r>
          </w:p>
        </w:tc>
        <w:tc>
          <w:tcPr>
            <w:tcW w:w="220" w:type="dxa"/>
            <w:vAlign w:val="bottom"/>
            <w:shd w:val="clear" w:color="auto" w:fill="CFF0FC"/>
          </w:tcPr>
          <w:p>
            <w:pPr>
              <w:spacing w:after="0"/>
              <w:rPr>
                <w:sz w:val="11"/>
                <w:szCs w:val="11"/>
                <w:color w:val="auto"/>
              </w:rPr>
            </w:pPr>
          </w:p>
        </w:tc>
        <w:tc>
          <w:tcPr>
            <w:tcW w:w="1860" w:type="dxa"/>
            <w:vAlign w:val="bottom"/>
            <w:gridSpan w:val="3"/>
            <w:shd w:val="clear" w:color="auto" w:fill="CFF0FC"/>
          </w:tcPr>
          <w:p>
            <w:pPr>
              <w:jc w:val="right"/>
              <w:ind w:righ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Changes in fair value of financial instruments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1,472,118</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87,836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(127,908)</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Gain on extinguishment of convertible debts</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(233,216)</w:t>
            </w: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Loss on modification of operating lease contract</w:t>
            </w:r>
          </w:p>
        </w:tc>
        <w:tc>
          <w:tcPr>
            <w:tcW w:w="16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3"/>
          </w:tcPr>
          <w:p>
            <w:pPr>
              <w:jc w:val="right"/>
              <w:ind w:righ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Unrealized foreign currency transaction (gain) loss</w:t>
            </w:r>
          </w:p>
        </w:tc>
        <w:tc>
          <w:tcPr>
            <w:tcW w:w="1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(205,823)</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218,085</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(546,226)</w:t>
            </w:r>
          </w:p>
        </w:tc>
        <w:tc>
          <w:tcPr>
            <w:tcW w:w="0" w:type="dxa"/>
            <w:vAlign w:val="bottom"/>
          </w:tcPr>
          <w:p>
            <w:pPr>
              <w:spacing w:after="0"/>
              <w:rPr>
                <w:sz w:val="1"/>
                <w:szCs w:val="1"/>
                <w:color w:val="auto"/>
              </w:rPr>
            </w:pPr>
          </w:p>
        </w:tc>
      </w:tr>
      <w:tr>
        <w:trPr>
          <w:trHeight w:val="135"/>
        </w:trPr>
        <w:tc>
          <w:tcPr>
            <w:tcW w:w="656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Changes in operating assets and liabilities:</w:t>
            </w: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(5,062,424)</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668,143</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4,722,657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Amounts due from related parties</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(469,422)</w:t>
            </w: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(1,330,296)</w:t>
            </w: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(744,558)</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(663,491)</w:t>
            </w:r>
          </w:p>
        </w:tc>
        <w:tc>
          <w:tcPr>
            <w:tcW w:w="15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(1,260,086)</w:t>
            </w: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(1,840,199)</w:t>
            </w: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Prepayments and other assets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167,284</w:t>
            </w:r>
          </w:p>
        </w:tc>
        <w:tc>
          <w:tcPr>
            <w:tcW w:w="220" w:type="dxa"/>
            <w:vAlign w:val="bottom"/>
          </w:tcPr>
          <w:p>
            <w:pPr>
              <w:spacing w:after="0"/>
              <w:rPr>
                <w:sz w:val="11"/>
                <w:szCs w:val="11"/>
                <w:color w:val="auto"/>
              </w:rPr>
            </w:pP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(4,706,046)</w:t>
            </w:r>
          </w:p>
        </w:tc>
        <w:tc>
          <w:tcPr>
            <w:tcW w:w="2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2,879,268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(859,571)</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2,415,557</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(2,124,017)</w:t>
            </w: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Contract liabilities</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(1,533,075)</w:t>
            </w: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1,955,497</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711,340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Amounts due to a related party</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126,926</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34,877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(345,391)</w:t>
            </w: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(458,338)</w:t>
            </w: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(459,789)</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1,615,056</w:t>
            </w:r>
          </w:p>
        </w:tc>
        <w:tc>
          <w:tcPr>
            <w:tcW w:w="2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(689,051)</w:t>
            </w: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(35,080)</w:t>
            </w:r>
          </w:p>
        </w:tc>
        <w:tc>
          <w:tcPr>
            <w:tcW w:w="0" w:type="dxa"/>
            <w:vAlign w:val="bottom"/>
          </w:tcPr>
          <w:p>
            <w:pPr>
              <w:spacing w:after="0"/>
              <w:rPr>
                <w:sz w:val="1"/>
                <w:szCs w:val="1"/>
                <w:color w:val="auto"/>
              </w:rPr>
            </w:pPr>
          </w:p>
        </w:tc>
      </w:tr>
      <w:tr>
        <w:trPr>
          <w:trHeight w:val="135"/>
        </w:trPr>
        <w:tc>
          <w:tcPr>
            <w:tcW w:w="6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71,864</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88,526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(80,181)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6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(5,575,511)</w:t>
            </w:r>
          </w:p>
        </w:tc>
        <w:tc>
          <w:tcPr>
            <w:tcW w:w="15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(7,201,568)</w:t>
            </w: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(7,526,683)</w:t>
            </w:r>
          </w:p>
        </w:tc>
        <w:tc>
          <w:tcPr>
            <w:tcW w:w="0" w:type="dxa"/>
            <w:vAlign w:val="bottom"/>
          </w:tcPr>
          <w:p>
            <w:pPr>
              <w:spacing w:after="0"/>
              <w:rPr>
                <w:sz w:val="1"/>
                <w:szCs w:val="1"/>
                <w:color w:val="auto"/>
              </w:rPr>
            </w:pPr>
          </w:p>
        </w:tc>
      </w:tr>
      <w:tr>
        <w:trPr>
          <w:trHeight w:val="128"/>
        </w:trPr>
        <w:tc>
          <w:tcPr>
            <w:tcW w:w="65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1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a loan to a related party</w:t>
            </w:r>
          </w:p>
        </w:tc>
        <w:tc>
          <w:tcPr>
            <w:tcW w:w="1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(94,738)</w:t>
            </w:r>
          </w:p>
        </w:tc>
        <w:tc>
          <w:tcPr>
            <w:tcW w:w="1860" w:type="dxa"/>
            <w:vAlign w:val="bottom"/>
            <w:gridSpan w:val="3"/>
            <w:shd w:val="clear" w:color="auto" w:fill="CFF0FC"/>
          </w:tcPr>
          <w:p>
            <w:pPr>
              <w:jc w:val="right"/>
              <w:ind w:righ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collection of the loan to a related party</w:t>
            </w:r>
          </w:p>
        </w:tc>
        <w:tc>
          <w:tcPr>
            <w:tcW w:w="16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25,071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a loan to a related party of a shareholder</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(1,404)</w:t>
            </w: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collection of the loan to a related party of a shareholder</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2,886,378</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56,333</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Loans provided to third parties</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3"/>
            <w:shd w:val="clear" w:color="auto" w:fill="CFF0FC"/>
          </w:tcPr>
          <w:p>
            <w:pPr>
              <w:jc w:val="right"/>
              <w:ind w:righ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(821,769)</w:t>
            </w: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paid for purchase of property and equipment and intangible assets</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(525,915)</w:t>
            </w: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(613,657)</w:t>
            </w: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(677,415)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2,265,725</w:t>
            </w:r>
          </w:p>
        </w:tc>
        <w:tc>
          <w:tcPr>
            <w:tcW w:w="2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(533,657)</w:t>
            </w: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(1,499,184)</w:t>
            </w:r>
          </w:p>
        </w:tc>
        <w:tc>
          <w:tcPr>
            <w:tcW w:w="0" w:type="dxa"/>
            <w:vAlign w:val="bottom"/>
          </w:tcPr>
          <w:p>
            <w:pPr>
              <w:spacing w:after="0"/>
              <w:rPr>
                <w:sz w:val="1"/>
                <w:szCs w:val="1"/>
                <w:color w:val="auto"/>
              </w:rPr>
            </w:pPr>
          </w:p>
        </w:tc>
      </w:tr>
      <w:tr>
        <w:trPr>
          <w:trHeight w:val="129"/>
        </w:trPr>
        <w:tc>
          <w:tcPr>
            <w:tcW w:w="65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1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short-term bank borrowings</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6,298,822</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8,522,049</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4,199,987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short-term bank borrowings</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(4,649,967)</w:t>
            </w: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(7,263,737)</w:t>
            </w: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(6,767,761)</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free advances to the Founders and executive officers</w:t>
            </w:r>
          </w:p>
        </w:tc>
        <w:tc>
          <w:tcPr>
            <w:tcW w:w="1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(704,543)</w:t>
            </w:r>
          </w:p>
        </w:tc>
        <w:tc>
          <w:tcPr>
            <w:tcW w:w="1860" w:type="dxa"/>
            <w:vAlign w:val="bottom"/>
            <w:gridSpan w:val="3"/>
            <w:shd w:val="clear" w:color="auto" w:fill="CFF0FC"/>
          </w:tcPr>
          <w:p>
            <w:pPr>
              <w:jc w:val="right"/>
              <w:ind w:righ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collection of advances to the Founders and executive officers</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271,575</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675,939</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sale of ordinary shares through public offering</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19,091,338</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65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Cash paid to the existing equity holders of X-Charge Technology in connection with</w:t>
            </w: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restructuring</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(32,947,273)</w:t>
            </w: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65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Cash received from the existing equity holders of X-Charge Technology in connection</w:t>
            </w:r>
          </w:p>
        </w:tc>
        <w:tc>
          <w:tcPr>
            <w:tcW w:w="1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with the restructuring</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32,947,273</w:t>
            </w:r>
          </w:p>
        </w:tc>
        <w:tc>
          <w:tcPr>
            <w:tcW w:w="220" w:type="dxa"/>
            <w:vAlign w:val="bottom"/>
            <w:shd w:val="clear" w:color="auto" w:fill="CFF0FC"/>
          </w:tcPr>
          <w:p>
            <w:pPr>
              <w:spacing w:after="0"/>
              <w:rPr>
                <w:sz w:val="13"/>
                <w:szCs w:val="13"/>
                <w:color w:val="auto"/>
              </w:rPr>
            </w:pPr>
          </w:p>
        </w:tc>
        <w:tc>
          <w:tcPr>
            <w:tcW w:w="18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65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Cash paid to convertible debts holders of Beijing X-Charge Technology in connection with the conversion of convertible</w:t>
            </w: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debts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(7,020,816)</w:t>
            </w:r>
          </w:p>
        </w:tc>
        <w:tc>
          <w:tcPr>
            <w:tcW w:w="2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65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Cash received from the convertible debt holders of Beijing X-Charge Technology in connection with the conversion of</w:t>
            </w:r>
          </w:p>
        </w:tc>
        <w:tc>
          <w:tcPr>
            <w:tcW w:w="1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convertible debts</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7,020,816</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Payments of initial public offering (“IPO”) cost and follow-up offering cost</w:t>
            </w:r>
          </w:p>
        </w:tc>
        <w:tc>
          <w:tcPr>
            <w:tcW w:w="1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(1,525,934)</w:t>
            </w:r>
          </w:p>
        </w:tc>
        <w:tc>
          <w:tcPr>
            <w:tcW w:w="1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(1,875,977)</w:t>
            </w: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(1,759,316)</w:t>
            </w:r>
          </w:p>
        </w:tc>
        <w:tc>
          <w:tcPr>
            <w:tcW w:w="0" w:type="dxa"/>
            <w:vAlign w:val="bottom"/>
          </w:tcPr>
          <w:p>
            <w:pPr>
              <w:spacing w:after="0"/>
              <w:rPr>
                <w:sz w:val="1"/>
                <w:szCs w:val="1"/>
                <w:color w:val="auto"/>
              </w:rPr>
            </w:pPr>
          </w:p>
        </w:tc>
      </w:tr>
      <w:tr>
        <w:trPr>
          <w:trHeight w:val="135"/>
        </w:trPr>
        <w:tc>
          <w:tcPr>
            <w:tcW w:w="6560" w:type="dxa"/>
            <w:vAlign w:val="bottom"/>
            <w:tcBorders>
              <w:bottom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the convertible debts</w:t>
            </w: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11,053,172</w:t>
            </w:r>
          </w:p>
        </w:tc>
        <w:tc>
          <w:tcPr>
            <w:tcW w:w="22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10,743,125</w:t>
            </w:r>
          </w:p>
        </w:tc>
        <w:tc>
          <w:tcPr>
            <w:tcW w:w="22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19,149,612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(4,327,090)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560" w:type="dxa"/>
            <w:vAlign w:val="bottom"/>
            <w:shd w:val="clear" w:color="auto" w:fill="CFF0FC"/>
          </w:tcPr>
          <w:p>
            <w:pPr>
              <w:ind w:left="120"/>
              <w:spacing w:after="0" w:line="110" w:lineRule="exact"/>
              <w:rPr>
                <w:sz w:val="20"/>
                <w:szCs w:val="20"/>
                <w:color w:val="auto"/>
              </w:rPr>
            </w:pPr>
            <w:r>
              <w:rPr>
                <w:rFonts w:ascii="Times New Roman" w:cs="Times New Roman" w:eastAsia="Times New Roman" w:hAnsi="Times New Roman"/>
                <w:sz w:val="12"/>
                <w:szCs w:val="12"/>
                <w:color w:val="auto"/>
              </w:rPr>
              <w:t>Effect of foreign currency exchange rate changes on cash and cash equivalents and</w:t>
            </w:r>
          </w:p>
        </w:tc>
        <w:tc>
          <w:tcPr>
            <w:tcW w:w="16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(410,966)</w:t>
            </w:r>
          </w:p>
        </w:tc>
        <w:tc>
          <w:tcPr>
            <w:tcW w:w="1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(333,295)</w:t>
            </w:r>
          </w:p>
        </w:tc>
        <w:tc>
          <w:tcPr>
            <w:tcW w:w="280" w:type="dxa"/>
            <w:vAlign w:val="bottom"/>
            <w:shd w:val="clear" w:color="auto" w:fill="CFF0FC"/>
          </w:tcPr>
          <w:p>
            <w:pPr>
              <w:spacing w:after="0"/>
              <w:rPr>
                <w:sz w:val="9"/>
                <w:szCs w:val="9"/>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487,334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560" w:type="dxa"/>
            <w:vAlign w:val="bottom"/>
            <w:shd w:val="clear" w:color="auto" w:fill="CFF0FC"/>
          </w:tcPr>
          <w:p>
            <w:pPr>
              <w:ind w:left="220"/>
              <w:spacing w:after="0" w:line="140" w:lineRule="exact"/>
              <w:rPr>
                <w:sz w:val="20"/>
                <w:szCs w:val="20"/>
                <w:color w:val="auto"/>
              </w:rPr>
            </w:pPr>
            <w:r>
              <w:rPr>
                <w:rFonts w:ascii="Times New Roman" w:cs="Times New Roman" w:eastAsia="Times New Roman" w:hAnsi="Times New Roman"/>
                <w:sz w:val="13"/>
                <w:szCs w:val="13"/>
                <w:color w:val="auto"/>
              </w:rPr>
              <w:t>restricted cash</w:t>
            </w:r>
          </w:p>
        </w:tc>
        <w:tc>
          <w:tcPr>
            <w:tcW w:w="1620" w:type="dxa"/>
            <w:vAlign w:val="bottom"/>
            <w:gridSpan w:val="2"/>
            <w:vMerge w:val="continue"/>
            <w:shd w:val="clear" w:color="auto" w:fill="CFF0FC"/>
          </w:tcPr>
          <w:p>
            <w:pPr>
              <w:spacing w:after="0"/>
              <w:rPr>
                <w:sz w:val="12"/>
                <w:szCs w:val="12"/>
                <w:color w:val="auto"/>
              </w:rPr>
            </w:pPr>
          </w:p>
        </w:tc>
        <w:tc>
          <w:tcPr>
            <w:tcW w:w="158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7,022,373</w:t>
            </w:r>
          </w:p>
        </w:tc>
        <w:tc>
          <w:tcPr>
            <w:tcW w:w="22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11,081,092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(12,865,623)</w:t>
            </w:r>
          </w:p>
        </w:tc>
        <w:tc>
          <w:tcPr>
            <w:tcW w:w="0" w:type="dxa"/>
            <w:vAlign w:val="bottom"/>
          </w:tcPr>
          <w:p>
            <w:pPr>
              <w:spacing w:after="0"/>
              <w:rPr>
                <w:sz w:val="1"/>
                <w:szCs w:val="1"/>
                <w:color w:val="auto"/>
              </w:rPr>
            </w:pPr>
          </w:p>
        </w:tc>
      </w:tr>
      <w:tr>
        <w:trPr>
          <w:trHeight w:val="128"/>
        </w:trPr>
        <w:tc>
          <w:tcPr>
            <w:tcW w:w="6560" w:type="dxa"/>
            <w:vAlign w:val="bottom"/>
            <w:tcBorders>
              <w:bottom w:val="single" w:sz="8" w:color="CFF0FC"/>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cash equivalents and restricted cash at the beginning of the year</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8,670,437</w:t>
            </w:r>
          </w:p>
        </w:tc>
        <w:tc>
          <w:tcPr>
            <w:tcW w:w="22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15,692,810</w:t>
            </w:r>
          </w:p>
        </w:tc>
        <w:tc>
          <w:tcPr>
            <w:tcW w:w="2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26,773,902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the year</w:t>
            </w: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15,692,810</w:t>
            </w:r>
          </w:p>
        </w:tc>
        <w:tc>
          <w:tcPr>
            <w:tcW w:w="220" w:type="dxa"/>
            <w:vAlign w:val="bottom"/>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26,773,902</w:t>
            </w: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13,908,279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76,901</w:t>
            </w:r>
          </w:p>
        </w:tc>
        <w:tc>
          <w:tcPr>
            <w:tcW w:w="2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212,732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Income taxes paid</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82,557</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45,457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Accrual of IPO and follow-up offering cost</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1,168,175</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522,813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convertible debts into series B+ convertible redeemable preferred shares</w:t>
            </w:r>
          </w:p>
        </w:tc>
        <w:tc>
          <w:tcPr>
            <w:tcW w:w="16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9,651,560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Extinguishment of convertible debts</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2,720,155</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convertible preferred shares to Class A ordinary shares</w:t>
            </w:r>
          </w:p>
        </w:tc>
        <w:tc>
          <w:tcPr>
            <w:tcW w:w="16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52,697,376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offering costs charged against additional paid-in capital</w:t>
            </w:r>
          </w:p>
        </w:tc>
        <w:tc>
          <w:tcPr>
            <w:tcW w:w="16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4,264,457</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6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ROU assets disposed as reduction of operating lease liabilities due to lease modification</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-3515360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-3515360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-3515360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-2812415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-2812415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-2812415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-1432560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-1432560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-1432560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-1166495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-1166495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-1166495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-977900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-977900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-977900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ORGANIZATION</w:t>
      </w:r>
    </w:p>
    <w:p>
      <w:pPr>
        <w:spacing w:after="0" w:line="117"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principal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XCHG Limited (“the Company”, “XCHG”), together with its subsidiaries (collectively, the “the Group”), is principally engaged in designing, manufacturing and selling of Electric Vehicle (“EV”) chargers under the brand name of “X-Charge” (collectively referred to as the “X-Charge Business”). The Group’s principal operations and geographic markets are mainly in the People’s Republic of China (“PRC”), Europe and the United States.</w:t>
      </w:r>
    </w:p>
    <w:p>
      <w:pPr>
        <w:spacing w:after="0" w:line="280"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Beijing X-Charge Technology Co., Ltd. (“X-Charge Technology”) was established in 2015 under the laws of PRC by Mr. Ding Rui and Mr. Hou Yifei (the “Founders”) to be engaged in the X-Charge business. In preparation for the Company’s initial public offering, the Group has completed certain corporate reorganization transactions (the “Restructuring”) as described below, through a series of intermediary holding companies to acquire 100% of the equity interest in X-Charge Technology, and issue new shares of the Company to the beneficial owners of X-Charge Technology (“Existing Equity holders”) or their affiliates, such that an offshore shareholding structure was established.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16, 2021, the Company was incorporated in the Cayman Islands. The Company is an investment company with no substantial assets and liabilities immediately prior to the Restructuring and has no operations. In December 2021, the Company established Xcar Limited, a wholly-owned subsidiary in British Virgin Islands (“BVI”), which in turn, established Xcharge HK Limited, a wholly-owned subsidiary in Hong Kong in January 2022. On June 29, 2023, Xcharge HK Limited obtained control over X-Charge Technology and become an intermediate offshore holding company of X-Charge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principally involved the following steps: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Founders canceled their respective equity interests in X-Charge Technology in exchange for ordinary shares of XCHG Limited. Immediately after the completion of the Restructuring, Next EV Limited, an affiliate of Mr. Ding Rui, held 419,970,000 ordinary shares of XCHG Limited, and Future EV Limited, an affiliate of Mr. Hou Yifei, held 236,230,500 ordinary shares of XCHG Limited.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Beijing X-charge Management Consulting Centre (Limited Partnership) canceled its 7.2199% equity interests in X-Charge Technology, which served as share-based awards for future grants to employees. Prior to the Restructuring, X-Charge Technology did not grant any such share-based awards. In June 2023, XCHG Limited adopted a share incentive plan (the “2023 Share Plan”), under which the maximum number of ordinary shares, which may be issued, accounts for 7.2199% of share capital of XCHG Limited (or 150,000,000 ordinary shares) on a fully diluted basis, assuming all ordinary shares under the share incentive plan are outstanding.</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applicability of certain PRC foreign exchange regulatory procedures and requirements, the existing preference equity holders of X-Charge Technology canceled their respective equity interests in X-Charge Technology in exchange for either cash proceeds equal to their original investment in X-Charge Technology or preference shares of XCHG Limited;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53"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certain existing preference equity holders of X-Charge Technology who are required to complete certain PRC foreign exchange regulatory procedures before they are permitted to acquire preference shares of XCHG Limited, X-Charge Technology transferred cash to </w:t>
      </w:r>
      <w:r>
        <w:rPr>
          <w:rFonts w:ascii="Times New Roman" w:cs="Times New Roman" w:eastAsia="Times New Roman" w:hAnsi="Times New Roman"/>
          <w:sz w:val="18"/>
          <w:szCs w:val="18"/>
          <w:color w:val="231F20"/>
        </w:rPr>
        <w:t>these Existing Equity holders of X-Charge Technology in an amount equal to their original investment in X-Charge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Technology in exchange for their equity interests in X-Charge Technology. In connection with the transfer, XCHG Limited also issued warrants to such Existing Equity holders of X-Charge Technology (or their affiliates) to purchase preference shares of XCHG Limited. The warrant arrangements were contemplated solely to facilitate the completion of the Restructuring. Specifically, these Existing Equity holders were required to complete certain PRC foreign exchange regulatory procedures (which were administrative in nature and completed on June 30, 2023) before they or their affiliates were permitted to acquire preference shares of XCHG Limited. The warrants, in substance, served the purpose of ensuring they will continue to retain substantially the same equity holder rights during the interim period, if any, until they exercised the warrants to acquire preference shares of XCHG Limited. The exercise price of the warrants held by each of such Existing Equity holders (or their affiliates) equals their respective cash proceeds received from the cancellation of equity interests in X-Charge Technology.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6" w:name="page117"/>
    <w:bookmarkEnd w:id="116"/>
    <w:p>
      <w:pPr>
        <w:jc w:val="both"/>
        <w:ind w:left="1540"/>
        <w:spacing w:after="0" w:line="261" w:lineRule="auto"/>
        <w:rPr>
          <w:sz w:val="20"/>
          <w:szCs w:val="20"/>
          <w:color w:val="auto"/>
        </w:rPr>
      </w:pPr>
      <w:r>
        <w:rPr>
          <w:rFonts w:ascii="Times New Roman" w:cs="Times New Roman" w:eastAsia="Times New Roman" w:hAnsi="Times New Roman"/>
          <w:sz w:val="18"/>
          <w:szCs w:val="18"/>
          <w:color w:val="231F20"/>
        </w:rPr>
        <w:t>On June 30, 2023, XCHG Limited granted the warrants to such Existing Equity holders (or their affiliates) of X-Charge Technology who are required to complete certain PRC foreign exchange regulatory procedures. On the same date, all of such warrant holders exercised their warrants in full and accordingly because the relevant PRC foreign exchange regulatory procedures were completed on the same date, and XCHG Limited issued such number of preference shares to such warrant holders.</w:t>
      </w:r>
    </w:p>
    <w:p>
      <w:pPr>
        <w:spacing w:after="0" w:line="72" w:lineRule="exact"/>
        <w:rPr>
          <w:sz w:val="20"/>
          <w:szCs w:val="20"/>
          <w:color w:val="auto"/>
        </w:rPr>
      </w:pPr>
    </w:p>
    <w:p>
      <w:pPr>
        <w:jc w:val="both"/>
        <w:ind w:left="1540" w:hanging="514"/>
        <w:spacing w:after="0" w:line="266"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existing preference equity holders of X-Charge Technology who are not required to complete such PRC foreign exchange regulatory procedures, on June 30, 2023, XCHG Limited issued preference shares to them or their affiliates, as consideration in exchange for the respective equity interests that they held in X-Charge Technology.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30, 2023, the Company issued Series Angel, Series A, Series A+ and Series B redeemable preference shares to redeemable preferred equity holders of X-Charge Technology and issued Series Seed preference shares to Series Seed preferred equity holders of X-Charge Technology in exchange for the respective equity interests that they held in X-Charge Technology. Collectively, all the Series Angel, Series A, Series A+ and Series B redeemable preference shares are referred to as the “Preference Shares”. The terms of the Preference Shares and Series Seed preference shares of the Company substantially mirror those of the preferred equity of X-Charge Technology.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Upon the consummation of the Restructuring on June 30, 2023, all Existing Equity holders of X-Charge Technology obtained an equity interest of XCHG Limited in proportion to their respective equity ownership in X-Charge Technology immediately prior to the Restructuring and the Company became the ultimate holding company of X-Charge Technology. The issuance and the exercise of the warrants on June 30, 2023 (with no ability of the warrant holder to do anything other than exercise immediately), because of the lack of substance, does not have any accounting consequences.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the equity interests in X-Charge Technology before the Restructuring were the same as the shareholding percentages of XCHG Limited after the Restructuring, and the rights of each equity interest holder of X-Charge Technology before the Restructuring were substantially identical with the rights of each shareholder of XCHG Limited immediately after the Restructuring, the establishment of the corporate structure of XCHG Limited is treated as and accounted for as a recapitalization of X-Charge Technology that lacks economic substance, and the consolidated financial statements of XCHG were prepared as if the corporate structure of XCHG Limited after the Restructuring had been in existence since the beginning of the periods presented. That is, the consolidated financial statements of XCHG include the results of the operations and the statement of financial position of X-Charge Technology as of the beginning of the earliest period presented. XCHG’s consolidated financial position as of December 31, 2024 and 2025, and its results of operations for each of the years in the three-year period ended December 31, 2025 represent the continuation of the consolidated financial statements of X-Charge Technology, except for the capital structure and per share information of the Company, which is retrospectively adjusted from the earliest period in the consolidated financial statements presented to reflect the legal capital structure of XCHG. Accordingly, the effect of the ordinary shares, the Preference Shares and Series Seed preference shares issued by the Company pursuant to the Restructuring have been presented retrospectively as of the beginning of the earliest period presented on the consolidated financial statement.</w:t>
      </w:r>
    </w:p>
    <w:p>
      <w:pPr>
        <w:spacing w:after="0" w:line="294"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public offering (“IPO”)</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September 11, 2024, the Company completed its IPO on the NASDAQ Stock Market. In the offering, 3,333,335 American depositary shares (“ADSs”), representing 133,333,400 Class A Ordinary Shares, were issued and sold to the public at a price of US$6.2 per ADS. On September 13, 2024, an additional 128,888 ADSs were issued and sold to the underwriter at a price of US$6.2 per ADS through the partial exercise of the over-allotment option as stipulated in the Underwriting Agreement. The net proceeds to the Company from the IPO and the partial exercise of the over-allotment option, after deducting commissions and offering expenses, were approximately US$19.1 million.</w:t>
      </w:r>
    </w:p>
    <w:p>
      <w:pPr>
        <w:spacing w:after="0" w:line="287"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of the Group have been prepared in accordance with accounting principles generally accepted in the United States of America (“U.S. GAAP”) and pursuant to the rules and regulations of the SEC assuming the Group will continue as a going concern. The going concern assumption contemplates the realization of assets and satisfaction of liabilities in the normal course of business. However, if the Company had not consummated a Qualified IPO or Qualified share sale by September 30, 2024, which are out of the control of the Company, the redeemable preferred shareholders would have rights to request the Company to redeem all of the redeemable preference shares. The aggregate redemption amount by September 30, 2024 for all redeemable preference shares outstanding as of December 31, 2023 would be US$39.0 million. As a result, substantial doubt about the Company’s ability to continue as a going concern existed before the Company completed a Qualified IPO on September 11,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Group had been evaluating strategies to obtain additional funding for future operations. These strategies included, but were not limited to, obtaining equity financing, issuing debt or entering into other financing arrangements, obtaining agreements with the existing investors to extend the due dates for outstanding debt and the redemption dates of redeemable preference shares. However, the Group might be unable to access to future equity or debt financing when needed. As such, there could be no assurance that the Group would be able to obtain additional liquidity when needed or under acceptable terms, if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do not include any adjustments to the carrying amounts and classification of assets, liabilities, and reported expenses that may be necessary if the Group were unable to continue as a going concern. The Company has completed a Qualified IPO on September 11, 2024 and all redeemable preferred shares were converted into Class A ordinary shares. The net proceeds to the Company from the IPO and the partial exercise of the over-allotment option, after deducting commissions and offering expenses, were approximately US$19.1 million. The Group has cash and cash equivalents of US$11.4 million and working capital of US$13.6 million as of December 31, 2025. The Group’s available cash and working capital will be sufficient to support its continuous operations and to meet its payment obligations when liabilities fall due within the next twelve months from the date of issuance of these consolidated financial statements. As a result, no substantial doubt about the Company’s ability to continue as a going concern existed as of December 31, 2025.</w:t>
      </w:r>
    </w:p>
    <w:p>
      <w:pPr>
        <w:spacing w:after="0" w:line="296"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wholly-owned subsidiaries. All intercompany transactions and balances among the Company and its wholly-owned subsidiaries have been eliminated upon consolidation.</w:t>
      </w:r>
    </w:p>
    <w:p>
      <w:pPr>
        <w:spacing w:after="0" w:line="266"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financial statements and accompanying notes. Accounting estimates include, but not limited to, allowance for doubtful accounts, write downs for excess and obsolete inventories, the realization of deferred income tax assets and the fair value of ordinary shares, redeemable preference shares, convertible debts and share-based compensation awards. Changes in facts and circumstances may result in revised estimates. Actual results could differ from those estimates, and as such, differences may be material to the consolidated financial statements.</w:t>
      </w:r>
    </w:p>
    <w:p>
      <w:pPr>
        <w:spacing w:after="0" w:line="291"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In the normal course of business, the Group is subject to loss contingencies, such as legal proceedings and claims arising out of its business, that cover a wide range of matters, including, among others, government investigations, shareholder lawsuits,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305"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consisted of cash on hand, cash at bank, bank check, term deposits and other monetary funds, which have original maturities of three months or less and are readily convertible to known amounts of cash. The Group’s cash and cash equivalents, excluding cash on hand, are deposited in financial institutions at below locations: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5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top w:val="single" w:sz="8" w:color="auto"/>
            </w:tcBorders>
            <w:gridSpan w:val="2"/>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1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institutions in the mainland of the PRC</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RMB</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11,977,938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—Denominated in USD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1,117,452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EUR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1,776,869</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and cash equivalents balances held at mainland</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14,872,259</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3,409,619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PRC financial institutions</w:t>
            </w:r>
          </w:p>
        </w:tc>
        <w:tc>
          <w:tcPr>
            <w:tcW w:w="112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Financial institution in Germany</w:t>
            </w: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—Denominated in EUR</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2,882,073</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1,833,658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balances held at a Germany financial</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2,882,073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1,833,658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institution</w:t>
            </w:r>
          </w:p>
        </w:tc>
        <w:tc>
          <w:tcPr>
            <w:tcW w:w="112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institutions in the USA</w:t>
            </w: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USD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9,018,804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6,141,320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a USA financial institution</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9,018,804</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6,141,320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and cash equivalents balances held at financial</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26,773,136</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11,384,597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institutions</w:t>
            </w:r>
          </w:p>
        </w:tc>
        <w:tc>
          <w:tcPr>
            <w:tcW w:w="112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-1259205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-1259205</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-976630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-976630</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-282575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-282575</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Restricted cash represents cash deposited with a bank primarily in connection with two pending litigation matters as of December 31, 2025. The restriction on the use of such cash and any related interest income is imposed by the bank and will remain in effect until the respective legal proceedings are concluded. This balance is classified as a current asset on the Group's consolidated balance sheets, as the restriction is expected to be released within the 12 months following December 31, 2025. The Group had no restricted cash as of December 31, 2024. The restricted cash is denominated in RMB and held at financial institutions in the PRC.</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that sum to the total of the same such amounts shown in the consolidated statements of cash flows.</w:t>
      </w:r>
    </w:p>
    <w:p>
      <w:pPr>
        <w:spacing w:after="0" w:line="155"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wp:posOffset>
            </wp:positionV>
            <wp:extent cx="15430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7480"/>
        <w:spacing w:after="0"/>
        <w:tabs>
          <w:tab w:leader="none" w:pos="8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-3175</wp:posOffset>
            </wp:positionV>
            <wp:extent cx="15430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7480"/>
        <w:spacing w:after="0"/>
        <w:tabs>
          <w:tab w:leader="none" w:pos="878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3"/>
          <w:szCs w:val="13"/>
          <w:b w:val="1"/>
          <w:bCs w:val="1"/>
          <w:color w:val="auto"/>
        </w:rPr>
        <w:t>US$</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26,773,902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11,385,381</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2,522,898</w:t>
            </w:r>
          </w:p>
        </w:tc>
        <w:tc>
          <w:tcPr>
            <w:tcW w:w="80" w:type="dxa"/>
            <w:vAlign w:val="bottom"/>
          </w:tcPr>
          <w:p>
            <w:pPr>
              <w:spacing w:after="0"/>
              <w:rPr>
                <w:sz w:val="18"/>
                <w:szCs w:val="18"/>
                <w:color w:val="auto"/>
              </w:rPr>
            </w:pP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26,773,902</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13,908,279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primarily consists of receivables from customers, which are recognized and carried at the original invoice amount less an allowance for credit losses.</w:t>
      </w:r>
    </w:p>
    <w:p>
      <w:pPr>
        <w:spacing w:after="0" w:line="160"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Prior to the adoption of ASC 326, </w:t>
      </w:r>
      <w:r>
        <w:rPr>
          <w:rFonts w:ascii="Times New Roman" w:cs="Times New Roman" w:eastAsia="Times New Roman" w:hAnsi="Times New Roman"/>
          <w:sz w:val="18"/>
          <w:szCs w:val="18"/>
          <w:i w:val="1"/>
          <w:iCs w:val="1"/>
          <w:color w:val="auto"/>
        </w:rPr>
        <w:t>Financial Instruments - Credit Loss</w:t>
      </w:r>
      <w:r>
        <w:rPr>
          <w:rFonts w:ascii="Times New Roman" w:cs="Times New Roman" w:eastAsia="Times New Roman" w:hAnsi="Times New Roman"/>
          <w:sz w:val="18"/>
          <w:szCs w:val="18"/>
          <w:color w:val="auto"/>
        </w:rPr>
        <w:t>, the Group establishes an allowance for doubtful accounts primarily based on the aging of the receivables and factors surrounding the credit risk of specific customers. Accounts receivable balances are charged off against the allowance after all means of collection have been exhausted and the potential for recovery is considered remote.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9" w:name="page120"/>
    <w:bookmarkEnd w:id="11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Group adopted ASC 326, </w:t>
      </w:r>
      <w:r>
        <w:rPr>
          <w:rFonts w:ascii="Times New Roman" w:cs="Times New Roman" w:eastAsia="Times New Roman" w:hAnsi="Times New Roman"/>
          <w:sz w:val="18"/>
          <w:szCs w:val="18"/>
          <w:i w:val="1"/>
          <w:iCs w:val="1"/>
          <w:color w:val="auto"/>
        </w:rPr>
        <w:t>Financial Instruments - Credit Loss</w:t>
      </w:r>
      <w:r>
        <w:rPr>
          <w:rFonts w:ascii="Times New Roman" w:cs="Times New Roman" w:eastAsia="Times New Roman" w:hAnsi="Times New Roman"/>
          <w:sz w:val="18"/>
          <w:szCs w:val="18"/>
          <w:color w:val="auto"/>
        </w:rPr>
        <w:t xml:space="preserve"> on January 1, 2023 using the modified retrospective approach. Upon adoption of ASC 326 starting from January 1, 2023, the provision of credit losses for accounts receivable is based upon the current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Group considers both quantitative and qualitative information that is reasonable and supportable, including historical credit loss experience, adjusted for relevant factors impacting collectability and forward-looking information indicative of external market conditions. While the Group uses the best information available in making determination, the ultimate recovery of recorded receivables is also dependent upon future economic events and other conditions that may be beyond the Group’s control. Accounts receivable which are deemed to be uncollectible are charged off against the allowance after all means of collection have been exhausted and the potential for recovery is considered remote. There is a time lag between when the Group estimates a portion of or the entire account balances to be uncollectible and when a write off of the account balances is taken. The Group does not have any off-balance sheet credit exposure related to its customers. The effect of the adoption on the cumulative deficit as of January 1, 2023 was US$29,923.</w:t>
      </w:r>
    </w:p>
    <w:p>
      <w:pPr>
        <w:spacing w:after="0" w:line="298"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Inventories, consisting of raw materials, work in progress and finished goods, are stated at the lower of cost or net realizable value. The cost of inventory is determined using the weighted average cost method. Cost of finished goods comprise direct materials, direct production costs and an allocation of production overheads based on normal operating capacity. Inventory that is sold to third parties is included within cost of revenues. Inventory that is installed on the operator properties where the Company retains ownership is transferred to property and equipment at the carrying value of the inventory. Inventory is written down for damaged and slow-moving goods, which is dependent upon factors such as historical and forecasted consumer demand. When appropriate, write downs to inventory are recorded to write down the cost of inventories to their net realizable value.</w:t>
      </w:r>
    </w:p>
    <w:p>
      <w:pPr>
        <w:spacing w:after="0" w:line="291"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rFonts w:ascii="Times New Roman" w:cs="Times New Roman" w:eastAsia="Times New Roman" w:hAnsi="Times New Roman"/>
          <w:sz w:val="18"/>
          <w:szCs w:val="18"/>
          <w:b w:val="1"/>
          <w:bCs w:val="1"/>
          <w:i w:val="1"/>
          <w:iCs w:val="1"/>
          <w:color w:val="auto"/>
        </w:rPr>
      </w:pPr>
    </w:p>
    <w:p>
      <w:pPr>
        <w:ind w:left="520" w:right="3340"/>
        <w:spacing w:after="0" w:line="50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stated at cost less accumulated depreciation and any recorded impairment. The estimated useful lives are as follows:</w:t>
      </w:r>
    </w:p>
    <w:p>
      <w:pPr>
        <w:spacing w:after="0" w:line="2"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EV Chargers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5 years or lease term</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Group constructs certain of its property and equipment. In addition to costs under the construction contracts, external costs that are directly related to the construction and acquisition of such property and equipment are capitalized. Depreciation is recorded at the time assets are ready for their intended use. Such properties are classified to the appropriate categories of property and equipment when completed and ready for intended use. Depreciation of these assets, on the same basis as other property assets, commences when the assets are ready for their intended use.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commences when the asset is ready for its intended use. Depreciation on property and equipment is calculated on the straight-line method over the estimated useful lives of the assets.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items are retired or otherwise disposed of, income is charged or credited for the difference between net book value and the proceeds received thereon. Ordinary maintenance and repairs are charged to expense as incurred, and replacements and betterments are capitalized and amortized over the remaining useful life.</w:t>
      </w:r>
    </w:p>
    <w:p>
      <w:pPr>
        <w:spacing w:after="0" w:line="280"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Intangible asset mainly represents acquired licenses, which are amortized on a straight-line basis over the estimated useful life of 3 years. The estimated life of intangible assets subject to amortization is reassessed if circumstances occur that indicate the life has changed. Amortization expenses were US$29,597, US$26,981 and nil for the years ended December 31, 2023, 2024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0" w:name="page121"/>
    <w:bookmarkEnd w:id="120"/>
    <w:p>
      <w:pPr>
        <w:ind w:left="520" w:hanging="512"/>
        <w:spacing w:after="0"/>
        <w:tabs>
          <w:tab w:leader="none" w:pos="520"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Group adopts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for all periods presented. The Group elects the short-term lease exemption for all contracts with lease terms of 12 months or less.</w:t>
      </w:r>
    </w:p>
    <w:p>
      <w:pPr>
        <w:spacing w:after="0" w:line="16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Group determines if an arrangement is a lease or contains a lease at lease inception. For operating leases, the Group as a lessee recognizes a right-of-use (“ROU”) asset and a lease liability based on the present value of the lease payments over the lease term on the consolidated balance sheets at commencement date. Lease expense is recorded on a straight-line basis over the lease term. As most of the Group’s leases do not provide an implicit rate, the Group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 The Group’s leases often include options to extend and lease terms include such extended terms when the Group is reasonably certain to exercise those options. Lease terms also include periods covered by options to terminate the leases when the Group is reasonably certain not to exercise those options.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elects not to separate non-lease components from lease components, therefore, accounts for lease component and non-lease components as a single lease component.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lease modifications are evaluated in accordance with ASC 842-10-15-6 to determine their impact on the existing lease classification and measurement. A partial lease termination is accounted for by proportionally reducing both the lease liability and the ROU asset. Any difference between the reduction in the lease liability and the corresponding reduction in the ROU asset is recognized as a gain or loss in the consolidated statements of comprehensive loss. During the year ended December 31, 2025, the Group modified a lease arrangement in respective year to reduce leased space, resulting in lower monthly rental obligations. For the years ended December 31, 2025, the modification resulted in a loss of $11,890, which were recorded as a loss in the consolidated statements of comprehensive loss.</w:t>
      </w:r>
    </w:p>
    <w:p>
      <w:pPr>
        <w:spacing w:after="0" w:line="291"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investments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Group’s long-term investments are consisted of equity investments without readily determinable fair value. The Group adopted Accounting Standards Codification (“ASC”) Topic 321, Investments-Equity Securities (“ASC 321”) to accounting of equity investment. Pursuant to ASC 321, the Group uses the measurement alternative to measure the investment at cost, minus impairment, if any, plus or minus changes resulting from observable price changes in orderly transactions for identical or similar investment of the same issuer. The Group makes a qualitative assessment of whether the investment is impaired at each reporting date. If a qualitative assessment indicates that the investment is impaired, the Group has to estimate the investment’s fair value in accordance with ASC Topic 820, Fair Value Measurements and Disclosures (“ASC 820”). If the fair value is less than the investment’s carrying value, the Group recognizes an impairment loss in net income equal to the difference between the carrying value and fair value. As of December 31, 2024 and 2025, the Group evaluated its investments, taking into consideration, including, but not limited to, the duration, degree and causes of the decline in financial results, its intent and ability to hold the investment and the invested companies' financial performance and near-term prospects. Based on the evaluation, the Group’s long-term investments are not impaired.</w:t>
      </w:r>
    </w:p>
    <w:p>
      <w:pPr>
        <w:spacing w:after="0" w:line="190"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and equipment, intangible assets and operating lease right-of-use assets are evaluated for impairment whenever events or changes in circumstances indicate that the carrying value of an asset may not be fully recoverable or that the useful life is shorter than the Group had originally estimated. When these events occur, the Group evaluates the impairment for the long-lived assets or asset groups by comparing the carrying value of the assets or asset groups with an estimate of future undiscounted cash flows expected to be generated from the use of the assets or asset groups and their eventual disposition. If the sum of the expected future undiscounted cash flows is less than the carrying value of the assets or asset groups, the Group recognizes an impairment loss based on the excess of the carrying value of the assets or asset groups over the fair value of the assets or asset groups. No impairment of long-lived assets or asset groups was recognized for the years ended December 31, 2023, 2024 and 2025.</w:t>
      </w:r>
    </w:p>
    <w:p>
      <w:pPr>
        <w:spacing w:after="0" w:line="293"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Value added taxes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PRC subsidiaries and German subsidiary are subject to value added tax (“VAT”). Revenues from sales of products are generally subject to VAT at the rate of 13% for PRC subsidiaries and 19% for German subsidiary, respectively. Revenues from services are generally subject to VAT at the rate of 6% for PRC subsidiaries. The Group paid to local tax authorities after netting input VAT on purchases. The excess of output VAT over input VAT is reflected in accrued expenses and other current liabilities, and the excess of input VAT over output VAT is reflected in prepayments and other current assets in the consolidated balance sheets.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1" w:name="page122"/>
    <w:bookmarkEnd w:id="121"/>
    <w:p>
      <w:pPr>
        <w:ind w:left="520" w:hanging="512"/>
        <w:spacing w:after="0"/>
        <w:tabs>
          <w:tab w:leader="none" w:pos="52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liability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liability, consisting of warrants to purchase redeemable equity interest of X-Charge Technology, is recorded on the consolidated balance sheets at fair value. Changes in fair values was included in the changes in fair value of financial instruments on the consolidated statements of comprehensive loss.</w:t>
      </w:r>
    </w:p>
    <w:p>
      <w:pPr>
        <w:spacing w:after="0" w:line="280"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7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include cash and cash equivalents, restricted cash, accounts receivable, amounts due from related parties, other receivables included in prepayments and other current assets, short-term bank borrowings, accounts payable, financial liability, convertible debts and other payables included in accrued expenses and other current liabilities. Financial liability and convertible debts were measured at fair value using unobservable inputs and categorized in Level 3 of the fair value hierarchy, see Note 12. The carrying amounts of other short-term financial assets and liabilities approximate their fair values because of the short maturity of these instruments.</w:t>
      </w:r>
    </w:p>
    <w:p>
      <w:pPr>
        <w:spacing w:after="0" w:line="287"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generates substantially all of its revenues from sales of electric vehicles (“EV”) chargers to the Group’s PRC domestic and overseas customers. The Group also generates its revenues from provision of EV chargers related support services.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Group adopted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all periods presented.</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revenues upon the satisfaction of its performance obligation (upon transfer of control of promised goods or services to customers) in an amount that reflects the consideration to which the Group expects to be entitled to in exchange for those goods or services, excluding amounts collected on behalf of third parties (for example, value added taxes). For each performance obligation satisfied over time, the Group recognizes revenue over time by measuring the progress toward complete satisfaction of that performance obligation. If the Group does not satisfy a performance obligation over time, it recognizes revenue at a point in time when the performance obligation is satisfied.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sales of EV chargers, the Group’s performance obligation is to deliver the promised EV chargers, including both the hardware and embedded software, to the customers. The software embedded in the EV chargers is not considered distinct as it is integral to the functionality of the EV chargers. The Group recognizes revenue from the sales of EV chargers at a point in time when they are accepted by customers. Generally, the customers are required to pay the transaction price, which is fixed amount as stated in the contracts, within one to six months after they receive the EV chargers.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2" w:name="page123"/>
    <w:bookmarkEnd w:id="122"/>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Group also provides a standard warranty covering one to three years to all the customers under which the Group is required to fix defects of the hardware and the embedded software. The Group considers the standard warranty is not providing incremental service to customers rather an assurance to the quality of the products and therefore, the Group does not identify the standard warranty as a separate performance obligation. The estimated warranty costs are recognized as a liability when the Group transfers control of the EV chargers to the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also provides software upgrades and updates services and optional platform services to the customers who purchases EV chargers from the Group. The software upgrades and updates service consist of unspecified future software updates and upgrades upon the customer's request. The optional platform services enable the customers to remotely connect, configure and monitor their EV chargers.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software upgrades and updates service, the optional platform services and the EV chargers are accounted for as three separate performance obligations because they are capable of being distinct and there is no significant integration, inter-relation or interdependence among these three promises. The Group allocates the transaction price to the software upgrades and updates service, the optional platform services and the EV chargers based on their relative stand-alone selling prices if they are sold together. The stand-alone selling prices are estimated using expected cost plus a margin approach for performance obligations in a bundled transaction if the Company does not have standalone sales of such performance obligations.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the revenues from the software upgrades and updates service and the optional platform services over the contractual service period, which is generally one to two years, on a straight-line basis as the customer simultaneously receives and consumes the benefits provided by the Group as the Group performs and the Group’s efforts are expended evenly throughout the period.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also provides optional maintenance service and extended warranty service to the customers. Revenue from the optional maintenance service, which generally takes one to two days to complete, is recognized at a point in time when the service is completed. Revenue from the extended warranty service is recognized over the warranty period on a straight-line basis.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 receivable when it has an unconditional right to receive consideration from a customer. A right to receive consideration is unconditional if only the passage of time is required before payment of that consideration is due. If revenue has been recognized before the Group has an unconditional right to receive consideration, the amount is presented as a contract asset. The Group did not have any contract assets as of December 31, 2024 and 2025.</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a contract liability when the customer pays the consideration before the Group recognizes the related revenue or when the Group has an unconditional right to receive the consideration before the Group recognizes the related revenue, and in such case a corresponding receivable will be 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Group’s contract liabilities are presented as follows for the years ended December 31, 2024 and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as of January 1,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1,332,132</w:t>
            </w:r>
          </w:p>
        </w:tc>
        <w:tc>
          <w:tcPr>
            <w:tcW w:w="8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in advance, excluding VAT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13,769,113</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8"/>
        </w:trPr>
        <w:tc>
          <w:tcPr>
            <w:tcW w:w="2260" w:type="dxa"/>
            <w:vAlign w:val="bottom"/>
          </w:tcPr>
          <w:p>
            <w:pPr>
              <w:spacing w:after="0"/>
              <w:rPr>
                <w:sz w:val="17"/>
                <w:szCs w:val="17"/>
                <w:color w:val="auto"/>
              </w:rPr>
            </w:pPr>
          </w:p>
        </w:tc>
        <w:tc>
          <w:tcPr>
            <w:tcW w:w="5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from opening balance of contract</w:t>
            </w: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p>
        </w:tc>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(1,021,831)</w:t>
            </w:r>
          </w:p>
        </w:tc>
        <w:tc>
          <w:tcPr>
            <w:tcW w:w="2240" w:type="dxa"/>
            <w:vAlign w:val="bottom"/>
          </w:tcPr>
          <w:p>
            <w:pPr>
              <w:spacing w:after="0"/>
              <w:rPr>
                <w:sz w:val="20"/>
                <w:szCs w:val="20"/>
                <w:color w:val="auto"/>
              </w:rPr>
            </w:pPr>
          </w:p>
        </w:tc>
      </w:tr>
      <w:tr>
        <w:trPr>
          <w:trHeight w:val="198"/>
        </w:trPr>
        <w:tc>
          <w:tcPr>
            <w:tcW w:w="226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from contract liabilities arising during</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776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(10,791,785)</w:t>
            </w:r>
          </w:p>
        </w:tc>
        <w:tc>
          <w:tcPr>
            <w:tcW w:w="224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(58,198)</w:t>
            </w:r>
          </w:p>
        </w:tc>
        <w:tc>
          <w:tcPr>
            <w:tcW w:w="2240" w:type="dxa"/>
            <w:vAlign w:val="bottom"/>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as of December 31, 2024</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3,229,431</w:t>
            </w:r>
          </w:p>
        </w:tc>
        <w:tc>
          <w:tcPr>
            <w:tcW w:w="80" w:type="dxa"/>
            <w:vAlign w:val="bottom"/>
            <w:tcBorders>
              <w:top w:val="single" w:sz="8" w:color="CFF0FC"/>
            </w:tcBorders>
          </w:tcPr>
          <w:p>
            <w:pPr>
              <w:spacing w:after="0"/>
              <w:rPr>
                <w:sz w:val="18"/>
                <w:szCs w:val="18"/>
                <w:color w:val="auto"/>
              </w:rPr>
            </w:pPr>
          </w:p>
        </w:tc>
        <w:tc>
          <w:tcPr>
            <w:tcW w:w="224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5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received in advance, excluding VAT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8,031,503</w:t>
            </w:r>
          </w:p>
        </w:tc>
        <w:tc>
          <w:tcPr>
            <w:tcW w:w="80" w:type="dxa"/>
            <w:vAlign w:val="bottom"/>
            <w:shd w:val="clear" w:color="auto" w:fill="CFF0FC"/>
          </w:tcPr>
          <w:p>
            <w:pPr>
              <w:spacing w:after="0"/>
              <w:rPr>
                <w:sz w:val="17"/>
                <w:szCs w:val="17"/>
                <w:color w:val="auto"/>
              </w:rPr>
            </w:pPr>
          </w:p>
        </w:tc>
        <w:tc>
          <w:tcPr>
            <w:tcW w:w="2240" w:type="dxa"/>
            <w:vAlign w:val="bottom"/>
          </w:tcPr>
          <w:p>
            <w:pPr>
              <w:spacing w:after="0"/>
              <w:rPr>
                <w:sz w:val="17"/>
                <w:szCs w:val="17"/>
                <w:color w:val="auto"/>
              </w:rPr>
            </w:pPr>
          </w:p>
        </w:tc>
      </w:tr>
      <w:tr>
        <w:trPr>
          <w:trHeight w:val="198"/>
        </w:trPr>
        <w:tc>
          <w:tcPr>
            <w:tcW w:w="226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from opening balance of contract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(2,043,549)</w:t>
            </w:r>
          </w:p>
        </w:tc>
        <w:tc>
          <w:tcPr>
            <w:tcW w:w="2240" w:type="dxa"/>
            <w:vAlign w:val="bottom"/>
          </w:tcPr>
          <w:p>
            <w:pPr>
              <w:spacing w:after="0"/>
              <w:rPr>
                <w:sz w:val="20"/>
                <w:szCs w:val="20"/>
                <w:color w:val="auto"/>
              </w:rPr>
            </w:pPr>
          </w:p>
        </w:tc>
      </w:tr>
      <w:tr>
        <w:trPr>
          <w:trHeight w:val="198"/>
        </w:trPr>
        <w:tc>
          <w:tcPr>
            <w:tcW w:w="2260" w:type="dxa"/>
            <w:vAlign w:val="bottom"/>
          </w:tcPr>
          <w:p>
            <w:pPr>
              <w:spacing w:after="0"/>
              <w:rPr>
                <w:sz w:val="17"/>
                <w:szCs w:val="17"/>
                <w:color w:val="auto"/>
              </w:rPr>
            </w:pPr>
          </w:p>
        </w:tc>
        <w:tc>
          <w:tcPr>
            <w:tcW w:w="5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from contract liabilities arising during</w:t>
            </w: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p>
        </w:tc>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(5,276,614)</w:t>
            </w:r>
          </w:p>
        </w:tc>
        <w:tc>
          <w:tcPr>
            <w:tcW w:w="224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133,734</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as of December 31, 2025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4,074,505</w:t>
            </w:r>
          </w:p>
        </w:tc>
        <w:tc>
          <w:tcPr>
            <w:tcW w:w="80" w:type="dxa"/>
            <w:vAlign w:val="bottom"/>
            <w:tcBorders>
              <w:bottom w:val="single" w:sz="8" w:color="CFF0FC"/>
            </w:tcBorders>
            <w:shd w:val="clear" w:color="auto" w:fill="CFF0FC"/>
          </w:tcPr>
          <w:p>
            <w:pPr>
              <w:spacing w:after="0"/>
              <w:rPr>
                <w:sz w:val="21"/>
                <w:szCs w:val="21"/>
                <w:color w:val="auto"/>
              </w:rPr>
            </w:pPr>
          </w:p>
        </w:tc>
        <w:tc>
          <w:tcPr>
            <w:tcW w:w="2240" w:type="dxa"/>
            <w:vAlign w:val="bottom"/>
          </w:tcPr>
          <w:p>
            <w:pPr>
              <w:spacing w:after="0"/>
              <w:rPr>
                <w:sz w:val="21"/>
                <w:szCs w:val="21"/>
                <w:color w:val="auto"/>
              </w:rPr>
            </w:pPr>
          </w:p>
        </w:tc>
      </w:tr>
      <w:tr>
        <w:trPr>
          <w:trHeight w:val="628"/>
        </w:trPr>
        <w:tc>
          <w:tcPr>
            <w:tcW w:w="2260" w:type="dxa"/>
            <w:vAlign w:val="bottom"/>
          </w:tcPr>
          <w:p>
            <w:pPr>
              <w:spacing w:after="0"/>
              <w:rPr>
                <w:sz w:val="24"/>
                <w:szCs w:val="24"/>
                <w:color w:val="auto"/>
              </w:rPr>
            </w:pPr>
          </w:p>
        </w:tc>
        <w:tc>
          <w:tcPr>
            <w:tcW w:w="550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F-16</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-2073910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Group provides standard warranties for general repairs of defects that exist at the time of sale of EV chargers. The Group accrues the estimated costs of warranties at the time when revenue is recognized. The specific terms and conditions of those warranties vary among different types of EV Chargers. Factors that affect the Group’s warranty obligation include product defect rates and costs of repair or replacement. These factors are estimates that may change based on new information that becomes available each period. The portion of the warranty reserve expected to be incurred within the next 12 months is included within accrued expenses and other current liabilities while the remaining balance is included within other non-current liabilities on the consolidated balance sheets.</w:t>
      </w:r>
    </w:p>
    <w:p>
      <w:pPr>
        <w:spacing w:after="0" w:line="291"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Cost of revenues mainly consists of the cost of products sold, shipping costs, warranty costs and write-downs of inventories.</w:t>
      </w:r>
    </w:p>
    <w:p>
      <w:pPr>
        <w:spacing w:after="0" w:line="329"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mainly consist of (i) staff cost and share-based compensation expense, rental and depreciation related to selling and marketing functions, (ii) advertising expenses and (iii) other selling and marketing expenses. Advertising expenses are expensed as incurred. The advertising expenses were US$797,823, US$1,023,352 and US$795,670 for the years ended December 31, 2023, 2024 and 2025, respectively.</w:t>
      </w:r>
    </w:p>
    <w:p>
      <w:pPr>
        <w:spacing w:after="0" w:line="280"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mainly consist of (i) staff cost and share-based compensation expense, rental and depreciation related to general and administrative personnel, (ii) foreign currency exchange gain (loss), (iii) professional expenses and (iv) other general corporate expenses.</w:t>
      </w:r>
    </w:p>
    <w:p>
      <w:pPr>
        <w:spacing w:after="0" w:line="266"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mainly consist of (i) staff cost and share-based compensation expense, rental and depreciation related to research and development personnel, and (ii) research and development materials. Research and development expenses are expensed as incurred.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Costs incurred for the preliminary project stage of internal use software are expensed when incurred in research and development expenses. Costs incurred during the application development stage are capitalized when certain criteria of ASC 350-40 are met. Costs incurred during the post-implementation-operation stage are also expensed as incurred. As the period qualified for capitalization has historically been very short and the development costs incurred during this period have been insignificant, development costs of internal use software to date have been expensed when incurred.</w:t>
      </w:r>
    </w:p>
    <w:p>
      <w:pPr>
        <w:spacing w:after="0" w:line="287"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Government Grants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Government grants generally consist of financial subsidies received from local governments for operating a business in their jurisdictions and compliance with specific policies promoted by the local governments. The eligibility to receive such benefits and amount of financial subsidy to be granted are determined at the discretion of the relevant government authorities.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when there are reasonable assurances that the Group will comply with the conditions attach to them and the grants will be received. Government grants for the purpose of giving immediate financial support to the Group with no future related costs or obligation are recognized in the Group’s consolidated statements of comprehensive income (loss) when the grants become receivable.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US$428,066, US$38,167 and US$120,721 were recognized in government grants for the years ended December 31, 2023, 2024 and 2025, respectively. The deferred government subsidies included in liabilities were nil as of both December 31, 2024 and 2025.</w:t>
      </w:r>
    </w:p>
    <w:p>
      <w:pPr>
        <w:spacing w:after="0" w:line="266"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Share-based compensation</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grants unvested shares and restricted shares units (“RSU”) of the Company to eligible employees, officers and non-employee consultants and accounts for share-based compensation in accordance with ASC 718, Compensation — Stock Compensation.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Share-based awards are measured at the grant date fair value of the awards and recognized as expenses a) immediately at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4" w:name="page125"/>
    <w:bookmarkEnd w:id="12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grant date if no vesting conditions are required; or b) for shares and restricted shares granted with only service conditions that have a graded vesting schedule, using the straight-line vesting method, over the vesting period, provided that the cumulative amount of compensation cost recognized at any date at least equals the portion of the grant-date value of such award that is vested at that date.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spacing w:after="0" w:line="266"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subsidiaries in the PRC and Germany participate in respective government mandated, multiemployer, defined contribution plans, pursuant to which certain retirement, medical, housing and other welfare benefits are provided to employees. Both German Company Pension Scheme Act and the PRC labor laws require the local entities to pay to the local labor bureau a monthly contribution calculated at a stated contribution rate on the basic compensation of qualified employees, respectively. The Group has no further commitments beyond its monthly contribution. Employee social benefits included as cost of revenues and operating expenses in the accompanying consolidated statements of comprehensive loss amounted to US$1.6 million, US$2.18 million and US$2.0 million for the years ended December 31, 2023, 2024 and 2025, respectively.</w:t>
      </w:r>
    </w:p>
    <w:p>
      <w:pPr>
        <w:spacing w:after="0" w:line="291"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Current income taxes are recorded in accordance with the laws of the relevant tax jurisdictions.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Deferred income taxes are provided using the liability method.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and liabilities are offset if there is a legally enforceable right to offset deferred tax liabilities and assets, and they relate to income taxes levied by the same tax authority on the same taxable entity, or on different tax entities, but they intend to settle deferred tax liabilities and assets on a net basis or their deferred tax assets and liabilities will be realized simultaneously.</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to reduce the amount of deferred income tax assets if based on the weight of available evidence, it is more-likely-than-not that some portion, or all, of the deferred income tax assets will not be realized. The effect on deferred income taxes arising from a change in tax rates is recognized in the consolidated statements of comprehensive loss in the period of change.</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Group applies a “more likely than not” recognition threshold in the evaluation of uncertain tax positions. The Group recognizes the benefit of a tax position in its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expenses and general and administrative expenses, respectively. As of December 31, 2024 and 2025, the Group did not have any significant unrecognized uncertain tax positions.</w:t>
      </w:r>
    </w:p>
    <w:p>
      <w:pPr>
        <w:spacing w:after="0" w:line="296"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 and foreign currency risks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Group’s reporting currency is United States Dollars (“US$”). The functional currency of the Company and its subsidiaries incorporated in United States, HK S.A.R., British Virgin Islands and Singapore is US$, The functional currency of the Company’s subsidiary incorporated in Germany is Euro (“EUR”), and the functional currency of the Company’s PRC subsidiaries is Renminbi (“RMB”). 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general and administrative expenses in the consolidated statements of comprehensive loss.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Company’s German subsidiary and the PRC subsidiaries are translated from their functional currency into US$. Assets and liabilities are translated into US$ using the applicable exchange rates at the balance sheet date. Equity accounts other than earnings or deficits generated in the current period are translated into US$ using the appropriate historical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18"/>
          <w:szCs w:val="18"/>
          <w:color w:val="auto"/>
        </w:rPr>
        <w:t>Revenues, expenses, gains and losses are translated into US$ using the average exchange rates for the relevant period. The resulted foreign currency translation adjustments are recorded as a component of other comprehensive income or loss in the consolidated statements of comprehensive loss, and the accumulated foreign currency translation adjustments are recorded in accumulated other comprehensive loss as a component of consolidated statements of changes in shareholders’ (deficit) equity.</w:t>
      </w:r>
    </w:p>
    <w:p>
      <w:pPr>
        <w:spacing w:after="0" w:line="284"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Customers from whom individually represent greater than 10% of total revenues of the Group for the years ended December 31, 2023, 2024 and 2025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3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340" w:type="dxa"/>
            <w:vAlign w:val="bottom"/>
            <w:tcBorders>
              <w:top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40" w:type="dxa"/>
            <w:vAlign w:val="bottom"/>
            <w:tcBorders>
              <w:top w:val="single" w:sz="8" w:color="auto"/>
            </w:tcBorders>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4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2,819,842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9,622,477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4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16,325,786</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6,397,733</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5,482,894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E</w:t>
            </w:r>
          </w:p>
        </w:tc>
        <w:tc>
          <w:tcPr>
            <w:tcW w:w="134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4,627,547</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Suppliers from whom individually represent greater than 10% of total purchases of the Group for the years ended December 31, 2023, 2024 and 2025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120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200" w:type="dxa"/>
            <w:vAlign w:val="bottom"/>
            <w:tcBorders>
              <w:top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A</w:t>
            </w:r>
          </w:p>
        </w:tc>
        <w:tc>
          <w:tcPr>
            <w:tcW w:w="12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5,780,414</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4,918,960</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1,372,932</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Supplier B</w:t>
            </w:r>
          </w:p>
        </w:tc>
        <w:tc>
          <w:tcPr>
            <w:tcW w:w="12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1,334,219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C</w:t>
            </w:r>
          </w:p>
        </w:tc>
        <w:tc>
          <w:tcPr>
            <w:tcW w:w="12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7,050,112</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1,839,392</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1,283,536</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Supplier D</w:t>
            </w:r>
          </w:p>
        </w:tc>
        <w:tc>
          <w:tcPr>
            <w:tcW w:w="12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2,434,481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2,377,647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1,239,046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Customers accounting for 10% or more of accounts receivable, net are as follows:</w:t>
      </w:r>
    </w:p>
    <w:p>
      <w:pPr>
        <w:spacing w:after="0" w:line="21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6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w w:val="99"/>
              </w:rPr>
              <w:t>1,713,707</w:t>
            </w: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1,224,249</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99"/>
              </w:rPr>
              <w:t>1,569,321</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G</w:t>
            </w:r>
          </w:p>
        </w:tc>
        <w:tc>
          <w:tcPr>
            <w:tcW w:w="116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w w:val="99"/>
              </w:rPr>
              <w:t>1,498,250</w:t>
            </w: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H</w:t>
            </w:r>
          </w:p>
        </w:tc>
        <w:tc>
          <w:tcPr>
            <w:tcW w:w="11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99"/>
              </w:rPr>
              <w:t>1,399,828</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6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w w:val="99"/>
              </w:rPr>
              <w:t>1,338,451</w:t>
            </w: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60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Customers accounting for 10% or more of contract liabilities are as follows: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I</w:t>
            </w:r>
          </w:p>
        </w:tc>
        <w:tc>
          <w:tcPr>
            <w:tcW w:w="1160" w:type="dxa"/>
            <w:vAlign w:val="bottom"/>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660,000</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G</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320,308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4"/>
        </w:trPr>
        <w:tc>
          <w:tcPr>
            <w:tcW w:w="60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Suppliers accounting for 10% or more of accounts payable are as follows: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D</w:t>
            </w:r>
          </w:p>
        </w:tc>
        <w:tc>
          <w:tcPr>
            <w:tcW w:w="116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w w:val="99"/>
              </w:rPr>
              <w:t>1,425,008</w:t>
            </w: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1,612,153</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w w:val="99"/>
              </w:rPr>
              <w:t>2,747,890</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1,119,645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B</w:t>
            </w:r>
          </w:p>
        </w:tc>
        <w:tc>
          <w:tcPr>
            <w:tcW w:w="116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687,776</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54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F-19</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8"/>
          <w:szCs w:val="18"/>
          <w:color w:val="auto"/>
        </w:rPr>
        <w:t>Suppliers accounting for 10% or more of prepayments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148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480" w:type="dxa"/>
            <w:vAlign w:val="bottom"/>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460" w:type="dxa"/>
            <w:vAlign w:val="bottom"/>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E</w:t>
            </w:r>
          </w:p>
        </w:tc>
        <w:tc>
          <w:tcPr>
            <w:tcW w:w="1480" w:type="dxa"/>
            <w:vAlign w:val="bottom"/>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rPr>
              <w:t>3,463,506</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6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1,789,478</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Supplier C</w:t>
            </w:r>
          </w:p>
        </w:tc>
        <w:tc>
          <w:tcPr>
            <w:tcW w:w="148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605,744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625,654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F</w:t>
            </w:r>
          </w:p>
        </w:tc>
        <w:tc>
          <w:tcPr>
            <w:tcW w:w="1480" w:type="dxa"/>
            <w:vAlign w:val="bottom"/>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rPr>
              <w:t>1,000,000</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amount was less than 10% of total sales, total purchases or total balance.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principally of cash and cash equivalents, accounts receivable, net, other receivables of prepayments and other current assets, and amounts due from related parties.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Group places its cash and cash equivalents in various commercial banks in the PRC, United States, German and Singapore. The Group believes that no significant credit risk exists as these banks are principally government-owned financial institutions with high credit ratings.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Group conducts credit evaluations on its customers prior to delivery of goods or services. The assessment of customer creditworthiness is primarily based on historical collection records, research of publicly available information and customer on-site visits by senior management. Based on this analysis, the Group determines what credit terms, if any, to offer to each customer individually. If the assessment indicates a likelihood of collection risk, the Group will not deliver the services or sell the products to the customer or require the customer to pay cash, post letters of credit to secure payment or to make significant down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the Group’s financial condition and results of operations. The Group is exposed to floating interest rate risk on floating rate borrowings, and the risks due to changes in interest rates is not material. The Group has not used any derivative financial instruments to manage its interest risk exposure.</w:t>
      </w:r>
    </w:p>
    <w:p>
      <w:pPr>
        <w:spacing w:after="0" w:line="280"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Loss per share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Loss per share is computed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The two-class method is used for computing earnings per share when the Group has net income available for distribution. Under the two-class method, net income is allocated between ordinary shares and other participating securities based on their participating rights. The liquidation and dividend rights of the holders of the Company’s Class A and Class B ordinary shares are identical, except with respect to voting. As the liquidation and dividend rights are identical, the net incomes are allocated on a proportionate basis. The Company’s redeemable preference shares and Series Seed preference shares are considered as participating securities because they are entitled to receive dividends or distributions on an as if converted basis if the Group has net income available for distribution under certain circumstances. Net loss is not allocated to other participating securities as they are not obligated to share the loss based on their contractual terms.</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period. Dilutive equivalent shares are excluded from the computation of diluted earnings per share if their effects would be anti-dilutive. Ordinary equivalent shares consist of ordinary shares issuable upon the conversion of the redeemable preference shares, Series Seed preference shares and the exercise of the financial instruments.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27" w:name="page128"/>
    <w:bookmarkEnd w:id="127"/>
    <w:p>
      <w:pPr>
        <w:ind w:left="520" w:hanging="512"/>
        <w:spacing w:after="0"/>
        <w:tabs>
          <w:tab w:leader="none" w:pos="520"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Group’s Chief Executive Officer is the Group’s CODM. The CODM reviews financial information presented on a consolidated basis for purposes of making operating decisions, allocating resources, and evaluating financial performance. As such, the Group has determined that it operates as one operating segment. The Group has concluded that consolidated net loss is the measure of segment profitability. The CODM assesses performance for the Group, monitors budget versus actual results, and determines how to allocate resources based on consolidated net loss as reported in the consolidated statements of comprehensive loss. There are no other expense categories regularly provided to the CODM that are not already included in the primary financial statements herein.</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Group’s long-lived assets are primarily located in and derived from the PRC, and the amount of long-lived assets attributable to any other individual country is not material. Therefore, no geographical segments are presented.</w:t>
      </w:r>
    </w:p>
    <w:p>
      <w:pPr>
        <w:spacing w:after="0" w:line="266"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Statutory Reserves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PRC Company Laws, the Group’s PRC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no appropriation was made to the statutory surplus fund and discretionary surplus fund by the Group’s PRC subsidiaries as these PRC companies were in a position of accumulated losses as determined under PRC GAAP. As of December 31, 2024 and 2025, there was no statutory surplus fund and discretionary surplus fund by the Company’s PRC subsidiaries, as these PRC companies were in accumulated losses as determined under PRC GAAP.</w:t>
      </w:r>
    </w:p>
    <w:p>
      <w:pPr>
        <w:spacing w:after="0" w:line="284"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Newly adopted accounting pronouncements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December 14, 2023, the FASB issued ASU 2023-09, Improvements to Income Tax Disclosures, which requires a significant expansion of the granularity of the income tax rate reconciliation as well as an expansion of other income tax disclosures. ASU 2023-09 requires a company to disclose specific income tax categories within the rate reconciliation table and provide additional information for reconciling items that meet a quantitative threshold if the effect of those reconciling items is equal to or greater than 5 percent of the amount computed by multiplying pre-tax income (or loss) by the applicable statutory income tax rate. There are also additional disclosures related to income taxes paid disaggregated by jurisdictions. ASU 2023-09 is effective for public business entities, for annual periods beginning after December 15, 2024. For entities other than public business entities, the amendments are effective for annual periods beginning after December 15, 2025. Early adoption are permitted. The Group early adopted ASU 2023-09 from the year ended December 31, 2025 on a prospective basis and included additional disclosures within Note 16 “Income taxes” to comply with the requirements of ASU 2023-09. There was no other impact to the Group’s financial statement disclosures as a result of adopting ASU 2023-09.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Group is currently evaluating the impact of this accounting standard update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 Financial Instruments—Credit Losses (Topic 326).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is currently evaluating the impact of this accounting standard update on its consolidated financial statements and disclosures.</w:t>
      </w:r>
    </w:p>
    <w:p>
      <w:pPr>
        <w:spacing w:after="0" w:line="200" w:lineRule="exact"/>
        <w:rPr>
          <w:sz w:val="20"/>
          <w:szCs w:val="20"/>
          <w:color w:val="auto"/>
        </w:rPr>
      </w:pPr>
    </w:p>
    <w:p>
      <w:pPr>
        <w:spacing w:after="0" w:line="309"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net consisted of the following:</w:t>
      </w:r>
    </w:p>
    <w:p>
      <w:pPr>
        <w:spacing w:after="0" w:line="219"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wp:posOffset>
            </wp:positionV>
            <wp:extent cx="1534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ind w:left="7480"/>
        <w:spacing w:after="0"/>
        <w:tabs>
          <w:tab w:leader="none" w:pos="8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-3175</wp:posOffset>
            </wp:positionV>
            <wp:extent cx="1534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left="7480"/>
        <w:spacing w:after="0" w:line="232" w:lineRule="auto"/>
        <w:tabs>
          <w:tab w:leader="none" w:pos="876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11,891,930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8,015,176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(650,396)</w:t>
            </w:r>
          </w:p>
        </w:tc>
        <w:tc>
          <w:tcPr>
            <w:tcW w:w="1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(1,009,780)</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11,241,534</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7,005,396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movements of the allowance for doubtful accounts were as follows: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2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4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(322,873)</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(536,414)</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(650,396)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Adoption of ASU 2016-13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(29,923)</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(301,601)</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(180,174)</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(425,835)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Reversal of expected credit losses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116,318</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52,911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(31,594)</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(536,414)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(650,396)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(1,009,780)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-1584960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-1567815</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-1584960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-1567815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514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Borders>
              <w:top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tcBorders>
            <w:gridSpan w:val="2"/>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Borders>
              <w:top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2,904,134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3,242,149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1,871,933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3,456,116</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4,318,847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7,682,052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9,432,929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Write-downs of inventories from the carrying amount to its estimated net realizable value amounted to US$0.16 million, US$0.04 million and US$5.2 thousand were recorded as cost of revenues for the years ended December 31, 2023, 2024 and 2025.</w:t>
      </w:r>
    </w:p>
    <w:p>
      <w:pPr>
        <w:spacing w:after="0" w:line="266" w:lineRule="exact"/>
        <w:rPr>
          <w:sz w:val="20"/>
          <w:szCs w:val="20"/>
          <w:color w:val="auto"/>
        </w:rPr>
      </w:pPr>
    </w:p>
    <w:p>
      <w:pPr>
        <w:ind w:left="520" w:right="6640" w:hanging="512"/>
        <w:spacing w:after="0" w:line="450" w:lineRule="auto"/>
        <w:tabs>
          <w:tab w:leader="none" w:pos="52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PREPAYMENTS AND OTHER ASSETS </w:t>
      </w:r>
      <w:r>
        <w:rPr>
          <w:rFonts w:ascii="Times New Roman" w:cs="Times New Roman" w:eastAsia="Times New Roman" w:hAnsi="Times New Roman"/>
          <w:sz w:val="17"/>
          <w:szCs w:val="17"/>
          <w:color w:val="auto"/>
        </w:rPr>
        <w:t>Prepayments and other assets consisted of the following: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9" w:name="page130"/>
    <w:bookmarkEnd w:id="129"/>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Borders>
              <w:top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tcBorders>
            <w:gridSpan w:val="2"/>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748,672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1,042,917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Deductible input VAT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1,097,980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third party payment platforms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 to service vendors(b)</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4,463,506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1,900,158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underwriter(c)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to third parties(d)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Others(e)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409,196</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557,724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Assets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6,497,363</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5,958,789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Other Non-Current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1,711,830</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6,497,363</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4,246,959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-316230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4230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Direct costs incurred by the Group in connection with the follow-up offering were deferred and recorded as deferred financing costs as of December 31, 2025 and offset against the gross proceeds received from the follow-up offering upon completion.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Prepayment to service vendors primarily consist of advance payments for outsourcing core hardware development and market promotion services.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Receivables from underwriter mainly represents unused advance payments made to underwriter for subsequent disbursement to legal advisors. During the year ended December 31, 2025, the balance has been fully collected.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 As of December 31, 2025, loans to third parties consisted of the following: (i) On November 24, 2025, the Company entered into a loan agreement with an individual third party to provide a loan of US$0.2 million. The loan bears interest at a floating rate equal to 3.91% per annum and matures twelve months from the effective date. (ii) On November 28, 2025, X-Charge Technology entered into a loan agreement with a third-party entity to provide a loan of RMB 4.3 million (approximately US$0.6 million). The loan bears interest at 3.5% per annum and matures two years from the disbursement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Others mainly include staff advances and deposits.</w:t>
      </w:r>
    </w:p>
    <w:p>
      <w:pPr>
        <w:spacing w:after="0" w:line="329" w:lineRule="exact"/>
        <w:rPr>
          <w:sz w:val="20"/>
          <w:szCs w:val="20"/>
          <w:color w:val="auto"/>
        </w:rPr>
      </w:pPr>
    </w:p>
    <w:p>
      <w:pPr>
        <w:ind w:left="520" w:right="7020" w:hanging="512"/>
        <w:spacing w:after="0" w:line="450" w:lineRule="auto"/>
        <w:tabs>
          <w:tab w:leader="none" w:pos="52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AND EQUIPMENT, NET </w:t>
      </w:r>
      <w:r>
        <w:rPr>
          <w:rFonts w:ascii="Times New Roman" w:cs="Times New Roman" w:eastAsia="Times New Roman" w:hAnsi="Times New Roman"/>
          <w:sz w:val="17"/>
          <w:szCs w:val="17"/>
          <w:color w:val="auto"/>
        </w:rPr>
        <w:t>Property and equipment consisted of the following:</w:t>
      </w:r>
    </w:p>
    <w:p>
      <w:pPr>
        <w:spacing w:after="0" w:line="2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5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345,721</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356,946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EV Chargers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737,191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540,133</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665,570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633,569</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782,207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Constructions in progress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165,327</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2,518,969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3,861,479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(1,549,762)</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(1,889,083)</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969,207</w:t>
            </w:r>
          </w:p>
        </w:tc>
        <w:tc>
          <w:tcPr>
            <w:tcW w:w="16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1,972,396</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-453390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on property and equipment was allocated to the following expense items: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0" w:name="page131"/>
    <w:bookmarkEnd w:id="130"/>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880" w:type="dxa"/>
            <w:vAlign w:val="bottom"/>
            <w:tcBorders>
              <w:bottom w:val="single" w:sz="8" w:color="auto"/>
            </w:tcBorders>
            <w:gridSpan w:val="5"/>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108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gridSpan w:val="2"/>
          </w:tcPr>
          <w:p>
            <w:pPr>
              <w:jc w:val="center"/>
              <w:ind w:lef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1080" w:type="dxa"/>
            <w:vAlign w:val="bottom"/>
            <w:tcBorders>
              <w:top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56,472</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76,649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35,171</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75,139</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58,091</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177,191</w:t>
            </w:r>
          </w:p>
        </w:tc>
        <w:tc>
          <w:tcPr>
            <w:tcW w:w="80" w:type="dxa"/>
            <w:vAlign w:val="bottom"/>
          </w:tcPr>
          <w:p>
            <w:pPr>
              <w:spacing w:after="0"/>
              <w:rPr>
                <w:sz w:val="18"/>
                <w:szCs w:val="18"/>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depreciation expense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173,287</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205,937</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275,252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classification of right-of-use assets and lease liabilities in the Group’s consolidated balance sheets: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2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2"/>
                <w:szCs w:val="12"/>
                <w:color w:val="auto"/>
              </w:rPr>
            </w:pPr>
          </w:p>
        </w:tc>
        <w:tc>
          <w:tcPr>
            <w:tcW w:w="11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1,653,733</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1,766,194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liabilities-current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(303,851)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liabilities-non-current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(1,274,314)</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(1,175,413)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(1,578,165)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(1,768,402)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9.44 years</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6.49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-593725</wp:posOffset>
            </wp:positionV>
            <wp:extent cx="1111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-593725</wp:posOffset>
            </wp:positionV>
            <wp:extent cx="1111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total operating lease costs and short-term lease cost recorded in cost of revenues, selling and marketing expenses, research and development expenses, general and administrative expenses were US$0.33 million, US$0.48 million and US$0.59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8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198"/>
        </w:trPr>
        <w:tc>
          <w:tcPr>
            <w:tcW w:w="620" w:type="dxa"/>
            <w:vAlign w:val="bottom"/>
          </w:tcPr>
          <w:p>
            <w:pPr>
              <w:spacing w:after="0"/>
              <w:rPr>
                <w:sz w:val="17"/>
                <w:szCs w:val="17"/>
                <w:color w:val="auto"/>
              </w:rPr>
            </w:pPr>
          </w:p>
        </w:tc>
        <w:tc>
          <w:tcPr>
            <w:tcW w:w="53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620" w:type="dxa"/>
            <w:vAlign w:val="bottom"/>
          </w:tcPr>
          <w:p>
            <w:pPr>
              <w:spacing w:after="0"/>
              <w:rPr>
                <w:sz w:val="20"/>
                <w:szCs w:val="20"/>
                <w:color w:val="auto"/>
              </w:rPr>
            </w:pPr>
          </w:p>
        </w:tc>
        <w:tc>
          <w:tcPr>
            <w:tcW w:w="5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312,939</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531,250</w:t>
            </w:r>
          </w:p>
        </w:tc>
        <w:tc>
          <w:tcPr>
            <w:tcW w:w="14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512,274</w:t>
            </w:r>
          </w:p>
        </w:tc>
        <w:tc>
          <w:tcPr>
            <w:tcW w:w="80" w:type="dxa"/>
            <w:vAlign w:val="bottom"/>
            <w:shd w:val="clear" w:color="auto" w:fill="CFF0FC"/>
          </w:tcPr>
          <w:p>
            <w:pPr>
              <w:spacing w:after="0"/>
              <w:rPr>
                <w:sz w:val="20"/>
                <w:szCs w:val="20"/>
                <w:color w:val="auto"/>
              </w:rPr>
            </w:pPr>
          </w:p>
        </w:tc>
      </w:tr>
      <w:tr>
        <w:trPr>
          <w:trHeight w:val="198"/>
        </w:trPr>
        <w:tc>
          <w:tcPr>
            <w:tcW w:w="620" w:type="dxa"/>
            <w:vAlign w:val="bottom"/>
          </w:tcPr>
          <w:p>
            <w:pPr>
              <w:spacing w:after="0"/>
              <w:rPr>
                <w:sz w:val="17"/>
                <w:szCs w:val="17"/>
                <w:color w:val="auto"/>
              </w:rPr>
            </w:pPr>
          </w:p>
        </w:tc>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operating lease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325,049</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940,101</w:t>
            </w:r>
          </w:p>
        </w:tc>
        <w:tc>
          <w:tcPr>
            <w:tcW w:w="80" w:type="dxa"/>
            <w:vAlign w:val="bottom"/>
          </w:tcPr>
          <w:p>
            <w:pPr>
              <w:spacing w:after="0"/>
              <w:rPr>
                <w:sz w:val="20"/>
                <w:szCs w:val="20"/>
                <w:color w:val="auto"/>
              </w:rPr>
            </w:pPr>
          </w:p>
        </w:tc>
      </w:tr>
      <w:tr>
        <w:trPr>
          <w:trHeight w:val="473"/>
        </w:trPr>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maturity of the Group’s lease liabilities as of December 31, 2025:</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740" w:type="dxa"/>
            <w:vAlign w:val="bottom"/>
            <w:gridSpan w:val="2"/>
          </w:tcPr>
          <w:p>
            <w:pPr>
              <w:spacing w:after="0"/>
              <w:rPr>
                <w:sz w:val="18"/>
                <w:szCs w:val="18"/>
                <w:color w:val="auto"/>
              </w:rPr>
            </w:pPr>
          </w:p>
        </w:tc>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641,941</w:t>
            </w:r>
          </w:p>
        </w:tc>
        <w:tc>
          <w:tcPr>
            <w:tcW w:w="80" w:type="dxa"/>
            <w:vAlign w:val="bottom"/>
            <w:tcBorders>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gridSpan w:val="2"/>
          </w:tcPr>
          <w:p>
            <w:pPr>
              <w:spacing w:after="0"/>
              <w:rPr>
                <w:sz w:val="18"/>
                <w:szCs w:val="18"/>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gridSpan w:val="2"/>
          </w:tcPr>
          <w:p>
            <w:pPr>
              <w:spacing w:after="0"/>
              <w:rPr>
                <w:sz w:val="18"/>
                <w:szCs w:val="18"/>
                <w:color w:val="auto"/>
              </w:rPr>
            </w:pPr>
          </w:p>
        </w:tc>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212,870</w:t>
            </w:r>
          </w:p>
        </w:tc>
        <w:tc>
          <w:tcPr>
            <w:tcW w:w="80" w:type="dxa"/>
            <w:vAlign w:val="bottom"/>
            <w:tcBorders>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gridSpan w:val="2"/>
          </w:tcPr>
          <w:p>
            <w:pPr>
              <w:spacing w:after="0"/>
              <w:rPr>
                <w:sz w:val="18"/>
                <w:szCs w:val="18"/>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gridSpan w:val="2"/>
          </w:tcPr>
          <w:p>
            <w:pPr>
              <w:spacing w:after="0"/>
              <w:rPr>
                <w:sz w:val="18"/>
                <w:szCs w:val="18"/>
                <w:color w:val="auto"/>
              </w:rPr>
            </w:pPr>
          </w:p>
        </w:tc>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99,768</w:t>
            </w:r>
          </w:p>
        </w:tc>
        <w:tc>
          <w:tcPr>
            <w:tcW w:w="80" w:type="dxa"/>
            <w:vAlign w:val="bottom"/>
            <w:tcBorders>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payments</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1,956,652</w:t>
            </w:r>
          </w:p>
        </w:tc>
        <w:tc>
          <w:tcPr>
            <w:tcW w:w="80" w:type="dxa"/>
            <w:vAlign w:val="bottom"/>
            <w:tcBorders>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(188,250)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w:t>
            </w:r>
          </w:p>
        </w:tc>
        <w:tc>
          <w:tcPr>
            <w:tcW w:w="10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1,768,402</w:t>
            </w: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modification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1" w:name="page132"/>
    <w:bookmarkEnd w:id="13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Group executed partial terminations of leased space, resulting in corresponding reductions in monthly rental payments. In accordance with ASC 842, Leases, partial lease terminations are accounted for by proportionately reducing both the lease liability and the ROU asset. The ROU asset is reduced based on the proportion of the lease that has been terminated, and the lease liability is remeasured based on the updated lease payments. The difference between the decrease in the lease liability and the proportionate reduction in the ROU asset is recognized as a gain or loss in the consolidated statements of income and comprehensive income in the period of modification. These lease modifications did not result in reclassification of the lease types. The Group continues to assess lease changes in accordance with ASC 842-10-15-6 to determine whether modifications represent separate contracts or modifications of the existing lease. The impact of these lease modifications on the consolidated statements of income and comprehensive income is summarized as follows:</w:t>
      </w:r>
    </w:p>
    <w:p>
      <w:pPr>
        <w:spacing w:after="0" w:line="22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20" w:type="dxa"/>
            <w:vAlign w:val="bottom"/>
          </w:tcPr>
          <w:p>
            <w:pPr>
              <w:spacing w:after="0"/>
              <w:rPr>
                <w:sz w:val="12"/>
                <w:szCs w:val="12"/>
                <w:color w:val="auto"/>
              </w:rPr>
            </w:pPr>
          </w:p>
        </w:tc>
        <w:tc>
          <w:tcPr>
            <w:tcW w:w="110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top w:val="single" w:sz="8" w:color="auto"/>
            </w:tcBorders>
            <w:gridSpan w:val="3"/>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100" w:type="dxa"/>
            <w:vAlign w:val="bottom"/>
            <w:tcBorders>
              <w:top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of ROU assets caused by lease modifications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345,622</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Decrease of lease liabilities caused by lease modifications</w:t>
            </w: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357,512</w:t>
            </w:r>
          </w:p>
        </w:tc>
        <w:tc>
          <w:tcPr>
            <w:tcW w:w="120" w:type="dxa"/>
            <w:vAlign w:val="bottom"/>
          </w:tcPr>
          <w:p>
            <w:pPr>
              <w:spacing w:after="0"/>
              <w:rPr>
                <w:sz w:val="18"/>
                <w:szCs w:val="18"/>
                <w:color w:val="auto"/>
              </w:rPr>
            </w:pPr>
          </w:p>
        </w:tc>
      </w:tr>
      <w:tr>
        <w:trPr>
          <w:trHeight w:val="249"/>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recorded in the consolidated statements of comprehensive loss</w:t>
            </w:r>
          </w:p>
        </w:tc>
        <w:tc>
          <w:tcPr>
            <w:tcW w:w="11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939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BORROWINGS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21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080" w:type="dxa"/>
            <w:vAlign w:val="bottom"/>
          </w:tcPr>
          <w:p>
            <w:pPr>
              <w:spacing w:after="0"/>
              <w:rPr>
                <w:sz w:val="12"/>
                <w:szCs w:val="12"/>
                <w:color w:val="auto"/>
              </w:rPr>
            </w:pPr>
          </w:p>
        </w:tc>
        <w:tc>
          <w:tcPr>
            <w:tcW w:w="146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8080" w:type="dxa"/>
            <w:vAlign w:val="bottom"/>
          </w:tcPr>
          <w:p>
            <w:pPr>
              <w:spacing w:after="0"/>
              <w:rPr>
                <w:sz w:val="12"/>
                <w:szCs w:val="12"/>
                <w:color w:val="auto"/>
              </w:rPr>
            </w:pPr>
          </w:p>
        </w:tc>
        <w:tc>
          <w:tcPr>
            <w:tcW w:w="14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8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Short-term bank borrowings </w:t>
            </w:r>
            <w:r>
              <w:rPr>
                <w:rFonts w:ascii="Times New Roman" w:cs="Times New Roman" w:eastAsia="Times New Roman" w:hAnsi="Times New Roman"/>
                <w:sz w:val="24"/>
                <w:szCs w:val="24"/>
                <w:color w:val="auto"/>
                <w:vertAlign w:val="superscript"/>
              </w:rPr>
              <w:t>(i)</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6,724,904</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4,268,154</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Loans from investor C </w:t>
            </w:r>
            <w:r>
              <w:rPr>
                <w:rFonts w:ascii="Times New Roman" w:cs="Times New Roman" w:eastAsia="Times New Roman" w:hAnsi="Times New Roman"/>
                <w:sz w:val="24"/>
                <w:szCs w:val="24"/>
                <w:color w:val="auto"/>
                <w:vertAlign w:val="superscript"/>
              </w:rPr>
              <w:t>(ii)</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2,086,695</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2,134,077</w:t>
            </w:r>
          </w:p>
        </w:tc>
        <w:tc>
          <w:tcPr>
            <w:tcW w:w="120" w:type="dxa"/>
            <w:vAlign w:val="bottom"/>
          </w:tcPr>
          <w:p>
            <w:pPr>
              <w:spacing w:after="0"/>
              <w:rPr>
                <w:sz w:val="18"/>
                <w:szCs w:val="18"/>
                <w:color w:val="auto"/>
              </w:rPr>
            </w:pPr>
          </w:p>
        </w:tc>
      </w:tr>
      <w:tr>
        <w:trPr>
          <w:trHeight w:val="250"/>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8,811,599</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6,402,231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borrowings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Short-term bank borrowings consist of RMB denominated borrowings from financial institutions in the PRC that are repayable within one year. The weighted average interest rates for the outstanding short-term bank borrowings as of December 31, 2024 and 2025 were 3.42% and 2.72%, respectively. As of December 31, 2024 and 2025, the repayments of all short-term bank borrowings are guaranteed by the Founders or third parties except for two loans from Bank of Beijing that started on December 30, 2024, and December 28, 2025. As of December 31, 2024 and 2025, the Company had outstanding short-term bank loan balances payable to the following financial institutions: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00" w:type="dxa"/>
            <w:vAlign w:val="bottom"/>
          </w:tcPr>
          <w:p>
            <w:pPr>
              <w:spacing w:after="0"/>
              <w:rPr>
                <w:sz w:val="18"/>
                <w:szCs w:val="18"/>
                <w:color w:val="auto"/>
              </w:rPr>
            </w:pPr>
          </w:p>
        </w:tc>
        <w:tc>
          <w:tcPr>
            <w:tcW w:w="9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00" w:type="dxa"/>
            <w:vAlign w:val="bottom"/>
            <w:vMerge w:val="restart"/>
          </w:tcPr>
          <w:p>
            <w:pPr>
              <w:spacing w:after="0"/>
              <w:rPr>
                <w:sz w:val="18"/>
                <w:szCs w:val="18"/>
                <w:color w:val="auto"/>
              </w:rPr>
            </w:pPr>
          </w:p>
        </w:tc>
        <w:tc>
          <w:tcPr>
            <w:tcW w:w="218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vMerge w:val="restart"/>
          </w:tcPr>
          <w:p>
            <w:pPr>
              <w:spacing w:after="0"/>
              <w:rPr>
                <w:sz w:val="18"/>
                <w:szCs w:val="18"/>
                <w:color w:val="auto"/>
              </w:rPr>
            </w:pPr>
          </w:p>
        </w:tc>
        <w:tc>
          <w:tcPr>
            <w:tcW w:w="104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top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Bank of Beijing Fuyu Sub-branch</w:t>
            </w:r>
          </w:p>
        </w:tc>
        <w:tc>
          <w:tcPr>
            <w:tcW w:w="10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3.45%,</w:t>
            </w:r>
          </w:p>
        </w:tc>
        <w:tc>
          <w:tcPr>
            <w:tcW w:w="300" w:type="dxa"/>
            <w:vAlign w:val="bottom"/>
            <w:shd w:val="clear" w:color="auto" w:fill="CFF0FC"/>
          </w:tcPr>
          <w:p>
            <w:pPr>
              <w:spacing w:after="0"/>
              <w:rPr>
                <w:sz w:val="16"/>
                <w:szCs w:val="16"/>
                <w:color w:val="auto"/>
              </w:rPr>
            </w:pPr>
          </w:p>
        </w:tc>
        <w:tc>
          <w:tcPr>
            <w:tcW w:w="2300" w:type="dxa"/>
            <w:vAlign w:val="bottom"/>
            <w:gridSpan w:val="2"/>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June 28, 2025, December 27,</w:t>
            </w: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3.10% and</w:t>
            </w: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2025 and December 27, 2026</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20"/>
                <w:szCs w:val="20"/>
                <w:color w:val="auto"/>
              </w:rPr>
            </w:pPr>
          </w:p>
        </w:tc>
        <w:tc>
          <w:tcPr>
            <w:tcW w:w="2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2,782,260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1,422,718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Bank of China Beijing Guomao Sub-branch</w:t>
            </w: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2.30% and</w:t>
            </w:r>
          </w:p>
        </w:tc>
        <w:tc>
          <w:tcPr>
            <w:tcW w:w="23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March 29, 2025, May 30,</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20"/>
                <w:szCs w:val="20"/>
                <w:color w:val="auto"/>
              </w:rPr>
            </w:pP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 and March 12,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China Merchants Bank Beijing Dayuncun Sub-branch</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3.40% and</w:t>
            </w:r>
          </w:p>
        </w:tc>
        <w:tc>
          <w:tcPr>
            <w:tcW w:w="230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From March 8, 2025 to May</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shd w:val="clear" w:color="auto" w:fill="CFF0FC"/>
          </w:tcPr>
          <w:p>
            <w:pPr>
              <w:spacing w:after="0"/>
              <w:rPr>
                <w:sz w:val="20"/>
                <w:szCs w:val="20"/>
                <w:color w:val="auto"/>
              </w:rPr>
            </w:pP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 2025 and June 24, 2026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1,855,949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1,422,718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Bank of Nanjing Beijing Branch</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January 24, 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695,565</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Short-term borrowings</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6,724,904</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4,268,154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31" w:lineRule="exact"/>
        <w:rPr>
          <w:sz w:val="20"/>
          <w:szCs w:val="20"/>
          <w:color w:val="auto"/>
        </w:rPr>
      </w:pPr>
      <w:r>
        <w:rPr>
          <w:rFonts w:ascii="Times New Roman" w:cs="Times New Roman" w:eastAsia="Times New Roman" w:hAnsi="Times New Roman"/>
          <w:sz w:val="18"/>
          <w:szCs w:val="18"/>
          <w:color w:val="auto"/>
        </w:rPr>
        <w:t>In December 2024, the Company entered into a revolving credit facility agreement with the Bank of Beijing Fuyu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branch for an aggregate principal amount of US$1.4 million. The facility matures on December 27, 2026 and allows the Company to draw, repay, and redraw funds at its discretion, subject to the terms of the agreement. As of December 31, 2024 and 2025, the outstanding borrowings under the facility were US$1.4 million, representing the full amount of the facility drawn on both dates.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On March 9, 2026, the Company repaid all outstanding borrowings due to Bank of China Beijing Guomao Sub-branch as of December 31, 2025. Subsequently, on March 12, 2026, the Company obtained a new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borrowing of US$1.4 million from the same bank. The borrowing bears an annual interest rate of 2.24%.</w:t>
      </w:r>
    </w:p>
    <w:p>
      <w:pPr>
        <w:spacing w:after="0" w:line="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31, 2025, the Company obtained a new borrowing of US$1.4 million from China Merchants Bank Beijing Dayuncun Sub-branch, with a maturity date of December 18, 2026. The borrowing bears an annual interest rate of 2.3%.</w:t>
      </w:r>
    </w:p>
    <w:p>
      <w:pPr>
        <w:spacing w:after="0" w:line="270"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from investor C</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27, 2024, the Company and Beijing X-Charge Technology Co., Ltd. (“X-Charge Technology”) entered into an adjustment agreement on the convertible loan investment with investor C, pursuant to which all parties agreed that X-Charge Technology shall repay the loan principal in the amount of RMB15 million (equivalent to US$2.1 million) and applicable interest to investor C upon 180 days after the consummation of a qualified IPO (see Note 9).</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Subsequently, the qualified IPO was consummated, making the total outstanding amount of RMB 16.13 million (approximately US$2.26 million), comprising principal and accrued interest, due on March 10, 2025. The Company failed to repay by this date, and pursuant to the agreement, overdue principal accrues default interest at a simple rate of 12% per annum from the date of default until full repayment.</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28, 2025, X-Charge Technology received a formal notice of arbitration from the China International Economic and Trade Arbitration Commission (“CIETAC”). The notice states that a claim was filed by Investor C seeking repayment of the outstanding principal and interest totaling RMB16.71 million (equivalent to US$2.33 million), plus default interest accruing at an annual rate of 12% from March 9, 2025, as well as recovery of its legal fees and arbitration costs. The claim also demands joint and several liability from the Company, its German subsidiary, and its founders, Mr. Ding Rui and Mr. Hou Yifei. As of the date these financial statements were authorized for issue, the arbitration is pending, and no hearing has been scheduled.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this matter, as of December 31, 2025, the Group had recognized a provision of RMB17.6 million (approximately US$2.5 million) for outstanding principal, accrued interest, and default interest accrued up to the balance sheet date, and had restricted cash of RMB16.9 million (approximately US$2.4 million) due to asset preservation measures on certain bank accounts. The Group concluded that the ultimate outcome of this arbitration would not have a material adverse effect on the Group's results of operations, consolidated financial condition, or cash flows.</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Convertible Notes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July 2023, the Company issued convertible notes with aggregate principal of US$2 million with simple interest of 10% per annum to investor A in exchange for US$2 million in cash. The principal and accrued interest shall be due and payable on the last day of nine months following the closing date on July 7, 2023. Pursuant to the convertible notes agreement, investor A has the right to convert the entire outstanding principal of the convertible notes into Series B+ preference shares in XCHG Limited before maturity date, at a conversion price of RMB0.3964 per share, the share number shall be calculated at the principal of US$2 million and at the exchange rate by the People’s Bank of China on the fifth business day before the date of the conversion. Accrued interests shall be repaid upon conversion.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Convertible Loan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In July 2023, X-Charge Technology borrowed convertible loans from investor B and investor C with an aggregated principal amount of RMB50 million (equivalent to US$7 million) and RMB15 million (equivalent to US$2.1 million), respectively, at a simple interest of 10% per annum. The principal and accrued interest shall be due and payable on the last day of nine months following the closing date on July 7, 2023. Pursuant to the convertible loan agreement, investor B and investor C have the right to convert the entire outstanding principal of the convertible loan into Series B+ preference shares in XCHG Limited before maturity date, provided certain conditions are met, among which, 1) the convertible loan in an amount of RMB30 million held by investor B can be convertible into 84,104,289 Series B+ preference shares of the Company, at a conversion price of RMB0.3567 per share, 2) the convertible loan in an amount of RMB20 million held by investor B can be convertible into 42,030,928 Series B+ preference shares at a conversion price of RMB0.4758 per share, or, in the event of the Company has new round of financing before or at the same time of the conversion, the latest class of preference shares issued by the Company, at a conversion price determined at the lower price of (i) RMB0.4758, or (ii) 90% of the share price of new round of financing of the Company, and 3) the convertible loan in an amount of RMB15 million held the investor C can be convertible into 37,840,565 Series B+ preference shares of the Company. Accrued interests shall be repaid upon conversion.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color w:val="231F20"/>
        </w:rPr>
        <w:t>Collectively, the convertible notes and the convertible loan are referred to as the “convertible debts”.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connection with the issuance of convertible debts, in August 2023, the Company granted warrants at nil consideration to each investor, pursuant to which the investors have the right to purchase Series B+ preference shares at an exercise price the same as the conversion price of the convertible debts corresponding to such warrants. The warrants are exercisable from the issuance date and expires on the maturity date of the convertible debts. The investors shall each have the right to choose either to exercise the warrants or the conversion options, but not both. Upon the exercise of the warrant, the investors will be released from all of its liabilities, obligations and rights under the convertible debts contract; Upon the conversion, the corresponding warrants will be terminated accordingly.</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Before conversion, the three investors are entitled to certain rights of the Series B+ preference shareholders, including liquidation preference rights and voting rights.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Contingent redemption feature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outstanding principal and any accrued but unpaid interest at 10% will become due and payable in full upon the occurrence of any of events of default.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Liquidation preference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Upon the occurrence of a liquidation event or deemed liquidation event as defined in the Amended and Restated Memorandum of Association, the investors shall each have the right to choose either to require the Group to repay loan principal and interest, or request distribution under the liquidation preference. If investors choose to request distribution, the Company shall repay the convertible debts together with accrued but unpaid interest at a simple 8% per annum from July 17, 2023 for the investor A and from July 7, 2023 for investor B and investor C, after such liquidation amounts have been paid in full, all of the remaining assets and funds of the Company legally available for distribution to shareholders and investor A, investor B and investor C shall be ratably distributed among all shareholders and investor A, investor B and investor C on a as converted basis and pari passu basis in proportion to the number of shares held by each shareholder/investor.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Voting rights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Each investor is entitled to the number of votes corresponding to the number of ordinary shares on an as-converted basis (as if the conversion). Each investor shall be entitled to vote on all matters on which the members of ordinary shares shall be entitled to vote.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Accounting for the convertible debts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The warrants and the convertible debts are treated as one hybrid instrument since they were entered into in conjunction with each other and were neither legally detachable nor separately exercisable. The Group evaluated based on the terms and features of the entire arrangements and concluded that the nature of the host contract was debt. The Group further concluded that the embedded conversion features did not need to be bifurcated pursuant to ASC 815 because the embedded conversion features are underlying preference shares of a private company and could not be publicly traded or readily convertible into cash. The Group made a one-time irrevocable policy election at convertible debts’ inception to elect the fair value option under ASC 825 and measure the convertible debts at fair value. The fair value option election is made on an instrument-by-instrument basis. Subsequently, the component of fair value changes relating to the instrument specific credit risk of the convertible debts is minimal. Fair value changes are recognized in changes in fair value of financial instruments in the consolidated statement of comprehensive loss.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Conversion of the convertible debts</w:t>
      </w:r>
    </w:p>
    <w:p>
      <w:pPr>
        <w:spacing w:after="0" w:line="1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On January 11, 2024, US$2 million convertible notes held by investor A and RMB50 million convertible loans held by investor B were converted into 35,842,294 and 126,135,217 Series B+ redeemable preference shares of the Company, respectively, at a conversion price of RMB0.3964 per share.</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231F20"/>
        </w:rPr>
        <w:t>Upon the conversion of the convertible debts, the Company recognized the fair value of Series B+ redeemable preference shares and derecognized the carrying value of the convertible debts. Accrued interests of US$0.46 million for the period from the closing date of issuance of convertible debts in July 2023 through the conversion date on January 11, 2024 were unsettled as of conversion date, which were included in accrued expenses and other current liabilities on the consolidated balance sheets as of conversion date and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Extinguishment of the convertible debts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4" w:name="page135"/>
    <w:bookmarkEnd w:id="134"/>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On April 7, 2024, RMB15 million convertible loans held by investor C and applicable interest became due. On May 27, 2024, the Company and X-Charge Technology entered into an adjustment agreement on the convertible loan investment with investor C, pursuant to which all parties agreed that X-Charge Technology shall repay the loan principal and applicable interest to this investor (i) upon 180 days after the consummation of a qualified IPO, if this offering is completed on or before September 30, 2024 and the proceeds from such offering are no less than US$20 million; or (ii) on October 15, 2024 or any other date as mutually agreed by all parties in writing, if the conditions prescribed in (i) are not met on or before September 30, 2024. In the event of a default on repayment, the overdue principal amount shall accrue interest at a simple 12% per annum from the date of default.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Following the adjustment agreement with investor C, the Company recognized RMB15 million (equivalent to US$2.09 million) in loan principal as short-term borrowings, RMB1.13 million (equivalent to US$0.16 million) in applicable interest as accrued expenses and other current liabilities, and RMB1.66 million (equivalent to US$0.23 million) gain on the extinguishment of the convertible debts, while derecognizing the carrying value of the convertible debts. The warrants granted in connection with the issuance of convertible debts are terminated upon the extinguishment of the associated convertible debts.</w:t>
      </w:r>
    </w:p>
    <w:p>
      <w:pPr>
        <w:spacing w:after="0" w:line="183" w:lineRule="exact"/>
        <w:rPr>
          <w:sz w:val="20"/>
          <w:szCs w:val="20"/>
          <w:color w:val="auto"/>
        </w:rPr>
      </w:pPr>
    </w:p>
    <w:p>
      <w:pPr>
        <w:jc w:val="both"/>
        <w:ind w:right="20" w:firstLine="564"/>
        <w:spacing w:after="0" w:line="266" w:lineRule="auto"/>
        <w:rPr>
          <w:sz w:val="20"/>
          <w:szCs w:val="20"/>
          <w:color w:val="auto"/>
        </w:rPr>
      </w:pPr>
      <w:r>
        <w:rPr>
          <w:rFonts w:ascii="Times New Roman" w:cs="Times New Roman" w:eastAsia="Times New Roman" w:hAnsi="Times New Roman"/>
          <w:sz w:val="18"/>
          <w:szCs w:val="18"/>
          <w:color w:val="231F20"/>
        </w:rPr>
        <w:t>On September 11, 2024, the Company successfully completed its IPO and gross proceeds are greater than US$20 million. Consequently, the loan principal and applicable interest would be repaid upon 180 days after the completion of the qualified IPO. If repayment is overdue, the outstanding principal amount shall bear interest at a simple 12% per annum from the date of default until full repayment is made.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ind w:left="520" w:right="5460" w:hanging="512"/>
        <w:spacing w:after="0" w:line="450" w:lineRule="auto"/>
        <w:tabs>
          <w:tab w:leader="none" w:pos="52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tcBorders>
            <w:gridSpan w:val="2"/>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2,310,507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2,938,321</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collected on behalf of the customers(a)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53,683</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662,974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540,679</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IPO and follow-up offering cost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522,813</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service expenses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789,427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403,298</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 to investors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612,443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825,081</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Others(b)</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240,963</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5,860,907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5,513,404</w:t>
            </w:r>
          </w:p>
        </w:tc>
        <w:tc>
          <w:tcPr>
            <w:tcW w:w="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-264795</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-264795</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Group collects the EV charging considerations from end users on behalf of certain customers and pays to these customers on a regular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Others as of December 31, 2024 and 2025 mainly included accrued warranty and other payable.</w:t>
      </w:r>
    </w:p>
    <w:p>
      <w:pPr>
        <w:spacing w:after="0" w:line="311"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LIABILITY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2020, X-Charge Technology entered into a loan agreement with SPD Silicon Valley Bank to borrow up to RMB10 million (equivalent to US$1.4 million). In October 2020, in connection with the loan agreement, X-Charge Technology issued warrants to Shengwei Venture Capital Management (Shanghai) Co., Ltd (“Shengwei”), an affiliate of SPD Silicon Valley Bank, to purchase 0.542% of X-Charge Technology’s equity interest at an exercise price at RMB2 million (equivalent to US$0.3 million) in aggregate or purchase 8,786,150 ordinary shares of the Company at the option of Shengwei on a fully diluted basis. The warrants are exercisable upon issuance and expires in October 2027. The warrants have not been exercised as of December 31, 2024 and 2025.</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exercisable period and when the warrants are exercised, Shengwei is entitled to require X-Charge Technology to repurchase all equity interest at the price of fair market value.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ASC 480, the Company classified the warrants as financial liability as the warrants embody an obligation to repurchase the X-Charge Technology’s equity interest which may require settlement by transferring assets. The Group recorded the financial liability on the consolidated balance sheets at its estimated fair value and subsequently, at each reporting date, recorded changes in estimated fair value included in the changes in fair value of financial instruments on the consolidated statement of comprehensive loss.</w:t>
      </w:r>
    </w:p>
    <w:p>
      <w:pPr>
        <w:spacing w:after="0" w:line="284"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liabilities measured at fair value on a recurring basis as of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1380" w:type="dxa"/>
            <w:vAlign w:val="bottom"/>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3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15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F-29</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-1319530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8"/>
          <w:szCs w:val="18"/>
          <w:color w:val="auto"/>
        </w:rPr>
        <w:t>The tables below reflect the reconciliation from the opening balances to the closing balances for recurring fair value measurements categorized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for the years ended December 31, 2023, 2024 and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7"/>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Gain or Losses</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gridSpan w:val="7"/>
            <w:vMerge w:val="restart"/>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6"/>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Included in Other</w:t>
            </w:r>
          </w:p>
        </w:tc>
        <w:tc>
          <w:tcPr>
            <w:tcW w:w="142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5"/>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6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6"/>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242,393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8,959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debts</w:t>
            </w:r>
          </w:p>
        </w:tc>
        <w:tc>
          <w:tcPr>
            <w:tcW w:w="7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2"/>
                <w:szCs w:val="22"/>
                <w:color w:val="auto"/>
              </w:rPr>
            </w:pPr>
          </w:p>
        </w:tc>
        <w:tc>
          <w:tcPr>
            <w:tcW w:w="1120" w:type="dxa"/>
            <w:vAlign w:val="bottom"/>
            <w:tcBorders>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11,053,172</w:t>
            </w:r>
          </w:p>
        </w:tc>
        <w:tc>
          <w:tcPr>
            <w:tcW w:w="220" w:type="dxa"/>
            <w:vAlign w:val="bottom"/>
            <w:tcBorders>
              <w:bottom w:val="single" w:sz="8" w:color="CFF0FC"/>
            </w:tcBorders>
            <w:gridSpan w:val="2"/>
            <w:shd w:val="clear" w:color="auto" w:fill="CFF0FC"/>
          </w:tcPr>
          <w:p>
            <w:pPr>
              <w:spacing w:after="0"/>
              <w:rPr>
                <w:sz w:val="22"/>
                <w:szCs w:val="22"/>
                <w:color w:val="auto"/>
              </w:rPr>
            </w:pPr>
          </w:p>
        </w:tc>
        <w:tc>
          <w:tcPr>
            <w:tcW w:w="1120" w:type="dxa"/>
            <w:vAlign w:val="bottom"/>
            <w:tcBorders>
              <w:bottom w:val="single" w:sz="8" w:color="auto"/>
            </w:tcBorders>
            <w:gridSpan w:val="7"/>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1,463,159</w:t>
            </w:r>
          </w:p>
        </w:tc>
        <w:tc>
          <w:tcPr>
            <w:tcW w:w="2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12,516,331</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7"/>
              </w:rPr>
              <w:t>For the Year Ended December 31, 2024</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7"/>
          </w:tcPr>
          <w:p>
            <w:pPr>
              <w:jc w:val="right"/>
              <w:ind w:right="454"/>
              <w:spacing w:after="0" w:line="115" w:lineRule="exact"/>
              <w:rPr>
                <w:sz w:val="20"/>
                <w:szCs w:val="20"/>
                <w:color w:val="auto"/>
              </w:rPr>
            </w:pPr>
            <w:r>
              <w:rPr>
                <w:rFonts w:ascii="Times New Roman" w:cs="Times New Roman" w:eastAsia="Times New Roman" w:hAnsi="Times New Roman"/>
                <w:sz w:val="11"/>
                <w:szCs w:val="11"/>
                <w:b w:val="1"/>
                <w:bCs w:val="1"/>
                <w:color w:val="auto"/>
              </w:rPr>
              <w:t>Gain or Losses</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Conversion of</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Conversion of</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Included in Other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convertible debts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 debts into</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6"/>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Foreign Currency</w:t>
            </w:r>
          </w:p>
        </w:tc>
        <w:tc>
          <w:tcPr>
            <w:tcW w:w="140" w:type="dxa"/>
            <w:vAlign w:val="bottom"/>
          </w:tcPr>
          <w:p>
            <w:pPr>
              <w:spacing w:after="0"/>
              <w:rPr>
                <w:sz w:val="10"/>
                <w:szCs w:val="10"/>
                <w:color w:val="auto"/>
              </w:rPr>
            </w:pPr>
          </w:p>
        </w:tc>
        <w:tc>
          <w:tcPr>
            <w:tcW w:w="7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Year ended</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6"/>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Included in</w:t>
            </w:r>
          </w:p>
        </w:tc>
        <w:tc>
          <w:tcPr>
            <w:tcW w:w="60" w:type="dxa"/>
            <w:vAlign w:val="bottom"/>
          </w:tcPr>
          <w:p>
            <w:pPr>
              <w:spacing w:after="0"/>
              <w:rPr>
                <w:sz w:val="10"/>
                <w:szCs w:val="10"/>
                <w:color w:val="auto"/>
              </w:rPr>
            </w:pPr>
          </w:p>
        </w:tc>
        <w:tc>
          <w:tcPr>
            <w:tcW w:w="8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5"/>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into preference</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short-term borrowing</w:t>
            </w:r>
          </w:p>
        </w:tc>
        <w:tc>
          <w:tcPr>
            <w:tcW w:w="160" w:type="dxa"/>
            <w:vAlign w:val="bottom"/>
          </w:tcPr>
          <w:p>
            <w:pPr>
              <w:spacing w:after="0"/>
              <w:rPr>
                <w:sz w:val="10"/>
                <w:szCs w:val="10"/>
                <w:color w:val="auto"/>
              </w:rPr>
            </w:pPr>
          </w:p>
        </w:tc>
        <w:tc>
          <w:tcPr>
            <w:tcW w:w="104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Accrued interests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5"/>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Translation</w:t>
            </w: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7"/>
        </w:trPr>
        <w:tc>
          <w:tcPr>
            <w:tcW w:w="1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220" w:type="dxa"/>
            <w:vAlign w:val="bottom"/>
          </w:tcPr>
          <w:p>
            <w:pPr>
              <w:spacing w:after="0"/>
              <w:rPr>
                <w:sz w:val="11"/>
                <w:szCs w:val="11"/>
                <w:color w:val="auto"/>
              </w:rPr>
            </w:pP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Purchase</w:t>
            </w:r>
          </w:p>
        </w:tc>
        <w:tc>
          <w:tcPr>
            <w:tcW w:w="72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60" w:type="dxa"/>
            <w:vAlign w:val="bottom"/>
          </w:tcPr>
          <w:p>
            <w:pPr>
              <w:spacing w:after="0"/>
              <w:rPr>
                <w:sz w:val="11"/>
                <w:szCs w:val="11"/>
                <w:color w:val="auto"/>
              </w:rPr>
            </w:pPr>
          </w:p>
        </w:tc>
        <w:tc>
          <w:tcPr>
            <w:tcW w:w="84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(see Note 8)</w:t>
            </w:r>
          </w:p>
        </w:tc>
        <w:tc>
          <w:tcPr>
            <w:tcW w:w="160" w:type="dxa"/>
            <w:vAlign w:val="bottom"/>
          </w:tcPr>
          <w:p>
            <w:pPr>
              <w:spacing w:after="0"/>
              <w:rPr>
                <w:sz w:val="11"/>
                <w:szCs w:val="11"/>
                <w:color w:val="auto"/>
              </w:rPr>
            </w:pPr>
          </w:p>
        </w:tc>
        <w:tc>
          <w:tcPr>
            <w:tcW w:w="104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(see Note10)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Financial liability</w:t>
            </w:r>
          </w:p>
        </w:tc>
        <w:tc>
          <w:tcPr>
            <w:tcW w:w="8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247,265</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gridSpan w:val="3"/>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5"/>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(54,859)</w:t>
            </w: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(3,127)</w:t>
            </w:r>
          </w:p>
        </w:tc>
        <w:tc>
          <w:tcPr>
            <w:tcW w:w="8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189,279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debts</w:t>
            </w:r>
          </w:p>
        </w:tc>
        <w:tc>
          <w:tcPr>
            <w:tcW w:w="8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12,516,331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5"/>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(90,521)</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6"/>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(9,651,560)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5"/>
          </w:tcPr>
          <w:p>
            <w:pPr>
              <w:jc w:val="right"/>
              <w:spacing w:after="0" w:line="135" w:lineRule="exact"/>
              <w:rPr>
                <w:sz w:val="20"/>
                <w:szCs w:val="20"/>
                <w:color w:val="auto"/>
              </w:rPr>
            </w:pPr>
            <w:r>
              <w:rPr>
                <w:rFonts w:ascii="Times New Roman" w:cs="Times New Roman" w:eastAsia="Times New Roman" w:hAnsi="Times New Roman"/>
                <w:sz w:val="13"/>
                <w:szCs w:val="13"/>
                <w:color w:val="auto"/>
              </w:rPr>
              <w:t>(2,086,695)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(612,443)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(75,112)</w:t>
            </w:r>
          </w:p>
        </w:tc>
        <w:tc>
          <w:tcPr>
            <w:tcW w:w="140" w:type="dxa"/>
            <w:vAlign w:val="bottom"/>
          </w:tcPr>
          <w:p>
            <w:pPr>
              <w:spacing w:after="0"/>
              <w:rPr>
                <w:sz w:val="11"/>
                <w:szCs w:val="11"/>
                <w:color w:val="auto"/>
              </w:rPr>
            </w:pPr>
          </w:p>
        </w:tc>
        <w:tc>
          <w:tcPr>
            <w:tcW w:w="7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11"/>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Gain or Losses</w:t>
            </w:r>
          </w:p>
        </w:tc>
        <w:tc>
          <w:tcPr>
            <w:tcW w:w="12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7"/>
          </w:tcPr>
          <w:p>
            <w:pPr>
              <w:jc w:val="right"/>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Included in Other</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9"/>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1380" w:type="dxa"/>
            <w:vAlign w:val="bottom"/>
            <w:gridSpan w:val="7"/>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0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7"/>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5"/>
                <w:szCs w:val="15"/>
                <w:color w:val="auto"/>
              </w:rPr>
            </w:pPr>
          </w:p>
        </w:tc>
        <w:tc>
          <w:tcPr>
            <w:tcW w:w="112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(127,908)</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-1979295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-1962150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-1979295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-1962150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-1979295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-1962150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-1979295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-1962150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-1979295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-1962150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-1962150</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financial liability that does not have a quoted market rate, the Group measured its fair value using the option-pricing model with the assistance of an independent third-party valuation firm. The fair values of financial liability as of December 31, 2024 and 2025, are estimated with the following key assumptions: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000" w:type="dxa"/>
            <w:vAlign w:val="bottom"/>
          </w:tcPr>
          <w:p>
            <w:pPr>
              <w:spacing w:after="0"/>
              <w:rPr>
                <w:sz w:val="12"/>
                <w:szCs w:val="12"/>
                <w:color w:val="auto"/>
              </w:rPr>
            </w:pPr>
          </w:p>
        </w:tc>
        <w:tc>
          <w:tcPr>
            <w:tcW w:w="170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70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return (per annum)</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 years</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years</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the Company’s ordinary shares</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US$0.05 per share</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US$0.03 per share</w:t>
            </w:r>
          </w:p>
        </w:tc>
      </w:tr>
    </w:tbl>
    <w:p>
      <w:pPr>
        <w:spacing w:after="0" w:line="200" w:lineRule="exact"/>
        <w:rPr>
          <w:sz w:val="20"/>
          <w:szCs w:val="20"/>
          <w:color w:val="auto"/>
        </w:rPr>
      </w:pPr>
    </w:p>
    <w:p>
      <w:pPr>
        <w:spacing w:after="0" w:line="318"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MEZZANINE EQUITY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Series Angel Preference Shares, Series Angel Redeemable Preference Shares, Series A Redeemable Preference Shares, Series A+ Redeemable Preference Shares, Series B Preference Shares and Series B+ redeemable preference shares (collectively “Preference Shares”)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2017, the Company entered into an investment agreement with two investors, pursuant to which the investors purchased 300,000,000 Series A redeemable preference shares from the Company for the considerations of US$5 million. The issuance costs of Series A redeemable preference shares were US$0.3 million.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February 2018, the investor of Series Angel shares (see Note 14) and two third party investors entered into equity transfer agreements, pursuant to which the investor of Series Angel shares sold 75,000,000 Series Angel shares of the Company </w:t>
      </w:r>
      <w:r>
        <w:rPr>
          <w:rFonts w:ascii="Times New Roman" w:cs="Times New Roman" w:eastAsia="Times New Roman" w:hAnsi="Times New Roman"/>
          <w:sz w:val="18"/>
          <w:szCs w:val="18"/>
          <w:color w:val="231F20"/>
        </w:rPr>
        <w:t>on a fully-diluted basis to the two third party investors</w:t>
      </w:r>
      <w:r>
        <w:rPr>
          <w:rFonts w:ascii="Times New Roman" w:cs="Times New Roman" w:eastAsia="Times New Roman" w:hAnsi="Times New Roman"/>
          <w:sz w:val="18"/>
          <w:szCs w:val="18"/>
          <w:color w:val="auto"/>
        </w:rPr>
        <w:t>. Half of the Series Angel shares was immediately re-designated into Series Angel redeemable preference shares, whereas the remaining half was immediately re-designated into Series Angel preference shares with a deemed liquidation preference. The Company did not receive any proceeds from this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7" w:name="page138"/>
    <w:bookmarkEnd w:id="13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2018, the Company entered into an investment agreement with certain investors, pursuant to which the investors purchased 118,971,900 Series A+ redeemable preference shares from the Company for an aggregate consideration of RMB25.7 million (equivalent to US$3.6 million). The issuance costs of Series A+ redeemable preference shares were RMB1.5 million (equivalent to US$0.21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2021, the Company entered into an investment agreement with two investors, pursuant to which the investors purchased 458,623,200 Series B redeemable preference shares from the Company for an aggregate consideration of RMB104.0 million (equivalent to US$14.4 million). The issuance costs of Series B redeemable preference shares were RMB1.2 million (equivalent to US$0.17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April 2021, the investor of Series Angel shares (see Note 14) and two third party investors entered into equity transfer agreements, pursuant to which the investor of Series Angel shares sold 88,196,700 shares of </w:t>
      </w:r>
      <w:r>
        <w:rPr>
          <w:rFonts w:ascii="Times New Roman" w:cs="Times New Roman" w:eastAsia="Times New Roman" w:hAnsi="Times New Roman"/>
          <w:sz w:val="18"/>
          <w:szCs w:val="18"/>
          <w:color w:val="231F20"/>
        </w:rPr>
        <w:t>the Company</w:t>
      </w:r>
      <w:r>
        <w:rPr>
          <w:rFonts w:ascii="Times New Roman" w:cs="Times New Roman" w:eastAsia="Times New Roman" w:hAnsi="Times New Roman"/>
          <w:sz w:val="18"/>
          <w:szCs w:val="18"/>
          <w:color w:val="auto"/>
        </w:rPr>
        <w:t xml:space="preserve"> to the third- party investors, all of which was immediately re-designated into Series B redeemable preference shares. The Company did not receive any proceeds from this transaction.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investor of Series Angel shares (see Note 14) and a third-party investor entered into an equity transfer agreement. Pursuant to the agreement, the investor of Series Angel shares sold 55,552,800 shares of the Company to the third-party investor, all of which was immediately re-designated into Series B redeemable preference shares. The Company did not receive any proceeds from this transaction.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January 11, 2024, the Company issued 161,977,511 Series B+ redeemable preference shares to two convertible debts holders who converted their convertible debts (see Note 9).</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rights, preferences and privileges of the Preference Shares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Redeemable preference shares shall be redeemable, at any time after the earlier of the occurrence of the following event:</w:t>
      </w:r>
    </w:p>
    <w:p>
      <w:pPr>
        <w:spacing w:after="0" w:line="117" w:lineRule="exact"/>
        <w:rPr>
          <w:sz w:val="20"/>
          <w:szCs w:val="20"/>
          <w:color w:val="auto"/>
        </w:rPr>
      </w:pPr>
    </w:p>
    <w:p>
      <w:pPr>
        <w:ind w:left="740" w:hanging="223"/>
        <w:spacing w:after="0"/>
        <w:tabs>
          <w:tab w:leader="none" w:pos="7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consummated a Qualified IPO or Qualified share sale by September 30, 2024;</w:t>
      </w:r>
    </w:p>
    <w:p>
      <w:pPr>
        <w:spacing w:after="0" w:line="117" w:lineRule="exact"/>
        <w:rPr>
          <w:rFonts w:ascii="Times New Roman" w:cs="Times New Roman" w:eastAsia="Times New Roman" w:hAnsi="Times New Roman"/>
          <w:sz w:val="18"/>
          <w:szCs w:val="18"/>
          <w:color w:val="auto"/>
        </w:rPr>
      </w:pPr>
    </w:p>
    <w:p>
      <w:pPr>
        <w:jc w:val="both"/>
        <w:ind w:firstLine="517"/>
        <w:spacing w:after="0" w:line="266" w:lineRule="auto"/>
        <w:tabs>
          <w:tab w:leader="none" w:pos="7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any material breach by either the Founders or the Company of any applicable laws and the transaction documents relating to these several rounds of equity financing, and such default fails to take remedy measures within thirty days after the receipt of the notice with respect to such remedy requirements from the shareholders;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redemption preference from high priority to low priority is as follows in sequence: Series B+ redeemable preference shares, Series B redeemable preference shares, Series A+ redeemable preference shares, Series A redeemable preference shares and Series Angel redeemable preference shares.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redemption prices for each owner of the redeemable preference shares are as follows: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Series B+ redeemable preference shares, the redemption price equal to one hundred percent (100%) of its issue price plus a simple eight percent (8%) per annum measured from the date the investors of convertible debts paid the principal to the Company and X-Charge Technology to actual payment date of the redemption, and the accumulated declared but unpaid dividends.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Series B redeemable preference shares, the redemption price equal to one hundred percent (100%) of its issue price plus a simple eight percent (8%) per annum measured from the date of receipt of the investment funds in full to actual payment date of the redemption, and the accumulated declared but unpaid dividends.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Series A+ redeemable preference shares, the redemption price equal to one hundred percent (100%) of its issue price plus the accumulated declared but unpaid dividends.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Series A redeemable preference shares, the redemption price equal to one hundred percent (100%) of its issue price plus a simple ten percent (10%) per annum return measured from the date of receipt of the investment funds to actual payment date of the redemption, and the accumulated declared but unpaid dividends.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Series Angel redeemable preference shares, the redemption price equal to RMB8,500,000 plus the accumulated declared but unpaid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Preference Shares shall be convertible, at the option of the holder, at any time after the date of issuance of such Preference Shares according to a conversion ratio, subject to adjustments for dilution, into ordinary shares. The Preference Shares shall automatically be converted into ordinary shares at the then applicable conversion ratio upon the closing of an underwritten public offering of the ordinary shares of the Group after the prior written approval of the holders of Preference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Preferred Share shall be entitled to that number of votes corresponding to the number of ordinary shares on an as-converted basis. The shareholders of Preference Shares shall vote separately as a class with respect to certain specified matters. Otherwise, the shareholders of Preference Shares, Series Seed preference shares (see Note 14) and ordinary shares shall vote together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Dividend Rights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The shareholders receive dividends on an as-if converted basis when dividends are declared. No dividends have been declared for the investors of the Preference Shares for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or upon occurrence of a Deemed Liquidation Event as defined in the Investors’ Rights Agreement, either voluntary or involuntary, the amount of shareholders’ distributable property or total transfer price shall be allocated and distributed as follows: first, the Company shall pay to the Series B+ redeemable preferred shareholders the amount of money which is equal to the sum of 100% of the investment plus a simple eight percent (8%) per annum measured from the date the investors of convertible debts paid the principal to the Company and X-Charge Technology to actual payment date of the liquidation and the declared but unpaid dividends; second, the Company shall pay to the Series B redeemable preferred shareholders the amount of money which is equal to the sum of 100% of the investment and the declared but unpaid dividends; third, the Company shall pay to the Series A+ redeemable preferred shareholders the amount of money which is equal to the sum of 100% of their respective investment and the declared but unpaid dividends; forth, the Company shall pay to the Series A redeemable preferred shareholders the amount of money which is equal to the sum of 150% of their respective investment and the declared but unpaid dividends; fifth, the Company shall pay to the owners of Series Angel redeemable preference shares and Series Angel preference shares the amount of money which is equal to RMB8,500,000 and RMB8,500,000, respectively and the declared but unpaid dividends.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After such liquidation amounts have been paid in full, all of the remaining assets and funds of the Company legally available for distribution to shareholders shall be ratably distributed among all </w:t>
      </w:r>
      <w:r>
        <w:rPr>
          <w:rFonts w:ascii="Times New Roman" w:cs="Times New Roman" w:eastAsia="Times New Roman" w:hAnsi="Times New Roman"/>
          <w:sz w:val="18"/>
          <w:szCs w:val="18"/>
          <w:color w:val="000000"/>
        </w:rPr>
        <w:t>shareholder</w:t>
      </w:r>
      <w:r>
        <w:rPr>
          <w:rFonts w:ascii="Times New Roman" w:cs="Times New Roman" w:eastAsia="Times New Roman" w:hAnsi="Times New Roman"/>
          <w:sz w:val="18"/>
          <w:szCs w:val="18"/>
          <w:color w:val="231F20"/>
        </w:rPr>
        <w:t>s on a as converted basis and pari passu basis in proportion to the number of shares held by each shareholder</w:t>
      </w:r>
      <w:r>
        <w:rPr>
          <w:rFonts w:ascii="Times New Roman" w:cs="Times New Roman" w:eastAsia="Times New Roman" w:hAnsi="Times New Roman"/>
          <w:sz w:val="18"/>
          <w:szCs w:val="18"/>
          <w:color w:val="000000"/>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immediately prior to IPO</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September 11, 2024, immediately prior to the completion of IPO, all of the Preferred Shares classified as mezzanine equity were automatically converted and re-designated into 1,358,372,111 Class A ordinary shares on a one-for-one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of the Preference Shares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classified Series Angel preference shares as mezzanine equity instead of permanent equity on the consolidated balance sheet because of the existence of a deemed liquidation preference, which was outside of the control of the Company.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Group classified the redeemable preference shares as mezzanine equity on the consolidated balance sheets as they were contingently redeemable upon the occurrence of triggering events which were outside of the control of the Company.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concluded the embedded redemption option of the Preference Shares did not need to be bifurcated pursuant to ASC 815 because these terms do not permit net settlement, nor they can be readily settled net by a means outside the contract, nor they can provide for delivery of an asset that puts the shareholders in a position not substantially different from net settlement.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Group also determined that there was no beneficial conversion feature attributable to the Preference Shares because the initial effective conversion prices of the Preference Shares were higher than the fair value of the Company’s ordinary shares at the relevant commitment dates. The fair value of the Company’s ordinary shares and redeemable preference shares on the commitment dates was estimated by management with the assistance of an independent valuation firm.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9" w:name="page140"/>
    <w:bookmarkEnd w:id="13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initial carrying amount of the Preference Shares was recorded at the fair value at the date of issuance, net of issuance cost. The Company recognized changes in the redemption value immediately as they occur and adjust the carrying value of the Preference Shares to equal the redemption value at the end of each reporting period, as if it were also the redemption date for the Preference Shares.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considered that the re-designation of Series Angel shares to Series B redeemable preference shares in April 2021 and September 2021, in substance, was the same as repurchase and cancellation of the Series Angel shares and simultaneously issuance of the Series B redeemable preference shares. Therefore the Group recorded 1) the difference in the amount of US$5.8 million between the fair value and the carrying amounts of the Series Angel shares against additional paid-in capital or by increasing accumulated deficit once additional paid-in capital has been exhausted; and 2) the difference in the amount of US$2.5 million between the fair value of the Series B redeemable preference shares and Series Angel shares against additional paid-in capital or by increasing accumulated deficit once additional paid-in capital has been exhausted, representing a return to the preferred shareholders that should be treated similar to dividends paid on preferred shareholders.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September 11, 2024, immediately prior to the completion of IPO, the existing carrying amount of the mezzanine equity instrument has been reclassified to permanent equity, and the difference between the carrying amount and the par value of ordinary share is recorded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activities of the Preference Shares for the years ended December 31, 2023 and 2024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Series Angel</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Series A+</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Series B+</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Angel</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8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40" w:type="dxa"/>
            <w:vAlign w:val="bottom"/>
          </w:tcPr>
          <w:p>
            <w:pPr>
              <w:spacing w:after="0"/>
              <w:rPr>
                <w:sz w:val="9"/>
                <w:szCs w:val="9"/>
                <w:color w:val="auto"/>
              </w:rPr>
            </w:pPr>
          </w:p>
        </w:tc>
        <w:tc>
          <w:tcPr>
            <w:tcW w:w="8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40" w:type="dxa"/>
            <w:vAlign w:val="bottom"/>
          </w:tcPr>
          <w:p>
            <w:pPr>
              <w:spacing w:after="0"/>
              <w:rPr>
                <w:sz w:val="9"/>
                <w:szCs w:val="9"/>
                <w:color w:val="auto"/>
              </w:rPr>
            </w:pPr>
          </w:p>
        </w:tc>
        <w:tc>
          <w:tcPr>
            <w:tcW w:w="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20" w:type="dxa"/>
            <w:vAlign w:val="bottom"/>
          </w:tcPr>
          <w:p>
            <w:pPr>
              <w:spacing w:after="0"/>
              <w:rPr>
                <w:sz w:val="9"/>
                <w:szCs w:val="9"/>
                <w:color w:val="auto"/>
              </w:rPr>
            </w:pPr>
          </w:p>
        </w:tc>
        <w:tc>
          <w:tcPr>
            <w:tcW w:w="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20" w:type="dxa"/>
            <w:vAlign w:val="bottom"/>
          </w:tcPr>
          <w:p>
            <w:pPr>
              <w:spacing w:after="0"/>
              <w:rPr>
                <w:sz w:val="9"/>
                <w:szCs w:val="9"/>
                <w:color w:val="auto"/>
              </w:rPr>
            </w:pPr>
          </w:p>
        </w:tc>
        <w:tc>
          <w:tcPr>
            <w:tcW w:w="9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20" w:type="dxa"/>
            <w:vAlign w:val="bottom"/>
          </w:tcPr>
          <w:p>
            <w:pPr>
              <w:spacing w:after="0"/>
              <w:rPr>
                <w:sz w:val="9"/>
                <w:szCs w:val="9"/>
                <w:color w:val="auto"/>
              </w:rPr>
            </w:pPr>
          </w:p>
        </w:tc>
        <w:tc>
          <w:tcPr>
            <w:tcW w:w="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USD</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USD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USD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USD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USD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USD</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USD</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1,220,458</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1,220,458</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7,635,384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3,937,712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24,880,147</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38,894,159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preference shares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1,877,429</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2,377,429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(44,118)</w:t>
            </w:r>
          </w:p>
        </w:tc>
        <w:tc>
          <w:tcPr>
            <w:tcW w:w="10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(44,118)</w:t>
            </w:r>
          </w:p>
        </w:tc>
        <w:tc>
          <w:tcPr>
            <w:tcW w:w="10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(92,369)</w:t>
            </w:r>
          </w:p>
        </w:tc>
        <w:tc>
          <w:tcPr>
            <w:tcW w:w="10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(142,342)</w:t>
            </w: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(931,628)</w:t>
            </w: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(1,254,575)</w:t>
            </w:r>
          </w:p>
        </w:tc>
        <w:tc>
          <w:tcPr>
            <w:tcW w:w="0" w:type="dxa"/>
            <w:vAlign w:val="bottom"/>
          </w:tcPr>
          <w:p>
            <w:pPr>
              <w:spacing w:after="0"/>
              <w:rPr>
                <w:sz w:val="1"/>
                <w:szCs w:val="1"/>
                <w:color w:val="auto"/>
              </w:rPr>
            </w:pPr>
          </w:p>
        </w:tc>
      </w:tr>
      <w:tr>
        <w:trPr>
          <w:trHeight w:val="142"/>
        </w:trPr>
        <w:tc>
          <w:tcPr>
            <w:tcW w:w="39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1,176,340</w:t>
            </w:r>
          </w:p>
        </w:tc>
        <w:tc>
          <w:tcPr>
            <w:tcW w:w="240" w:type="dxa"/>
            <w:vAlign w:val="bottom"/>
            <w:tcBorders>
              <w:top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1,176,340</w:t>
            </w:r>
          </w:p>
        </w:tc>
        <w:tc>
          <w:tcPr>
            <w:tcW w:w="240" w:type="dxa"/>
            <w:vAlign w:val="bottom"/>
            <w:tcBorders>
              <w:top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8,043,015</w:t>
            </w:r>
          </w:p>
        </w:tc>
        <w:tc>
          <w:tcPr>
            <w:tcW w:w="220" w:type="dxa"/>
            <w:vAlign w:val="bottom"/>
            <w:tcBorders>
              <w:top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3,795,370</w:t>
            </w:r>
          </w:p>
        </w:tc>
        <w:tc>
          <w:tcPr>
            <w:tcW w:w="220" w:type="dxa"/>
            <w:vAlign w:val="bottom"/>
            <w:tcBorders>
              <w:top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25,825,948</w:t>
            </w:r>
          </w:p>
        </w:tc>
        <w:tc>
          <w:tcPr>
            <w:tcW w:w="220" w:type="dxa"/>
            <w:vAlign w:val="bottom"/>
            <w:tcBorders>
              <w:top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40,017,013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Accretion of redeemable preference shares</w:t>
            </w:r>
          </w:p>
        </w:tc>
        <w:tc>
          <w:tcPr>
            <w:tcW w:w="10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347,945</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814,881</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1,162,826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redeemable preference shares</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9,651,560</w:t>
            </w: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9,651,560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upon conversion of convertible debts</w:t>
            </w:r>
          </w:p>
        </w:tc>
        <w:tc>
          <w:tcPr>
            <w:tcW w:w="10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preference shares to Class A ordinary</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(1,176,340)</w:t>
            </w:r>
          </w:p>
        </w:tc>
        <w:tc>
          <w:tcPr>
            <w:tcW w:w="10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(1,176,340)</w:t>
            </w: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(8,390,960)</w:t>
            </w: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(3,795,370)</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(26,506,806)</w:t>
            </w: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(9,651,560)</w:t>
            </w: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(50,697,376)</w:t>
            </w: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immediately prior to the completion of IPO</w:t>
            </w:r>
          </w:p>
        </w:tc>
        <w:tc>
          <w:tcPr>
            <w:tcW w:w="104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(134,023)</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(134,023)</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-822325</wp:posOffset>
            </wp:positionV>
            <wp:extent cx="76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-822325</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-822325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-822325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-822325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-822325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768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right="3120" w:firstLine="8"/>
        <w:spacing w:after="0" w:line="378" w:lineRule="auto"/>
        <w:tabs>
          <w:tab w:leader="none" w:pos="509"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ORDINARY SHARES, SERIES ANGEL SHARES AND SERIES SEED PREFERENCE SHARES </w:t>
      </w:r>
      <w:r>
        <w:rPr>
          <w:rFonts w:ascii="Times New Roman" w:cs="Times New Roman" w:eastAsia="Times New Roman" w:hAnsi="Times New Roman"/>
          <w:sz w:val="18"/>
          <w:szCs w:val="18"/>
          <w:b w:val="1"/>
          <w:bCs w:val="1"/>
          <w:color w:val="231F20"/>
        </w:rPr>
        <w:t>Ordinary shares</w:t>
      </w: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In December 2021, XCHG Limited was incorporated with authorized share capital of US$50,000 divided into 500,000,000 shares with par value US$0.0001 each, the Company issued 499,999,999 ordinary shares to the Founders.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In April 2023, the shareholders of the Company agreed to increase the authorized shares to 5,000,000,000 shares with a par value of US$0.00001 each. As described in Note 1 (b), the Company issued ordinary shares in April 2023, issued Preference Shares and Series Seed preference shares in June 2023 to the ordinary shareholders and preferred shareholders of the Company in exchange for the respective equity interests that they held in X-Charge Technology. Upon the completion of the Restructuring in June 2023, authorized ordinary shares are 3,728,605,400, of which issued and outstanding shares were 656,200,500. The authorized, issued and outstanding Series Seed, Series Angel, Series A, Series A+ and Series B preference shares were </w:t>
      </w:r>
      <w:r>
        <w:rPr>
          <w:rFonts w:ascii="Times New Roman" w:cs="Times New Roman" w:eastAsia="Times New Roman" w:hAnsi="Times New Roman"/>
          <w:sz w:val="18"/>
          <w:szCs w:val="18"/>
          <w:color w:val="000000"/>
        </w:rPr>
        <w:t xml:space="preserve">175,050,000, </w:t>
      </w:r>
      <w:r>
        <w:rPr>
          <w:rFonts w:ascii="Times New Roman" w:cs="Times New Roman" w:eastAsia="Times New Roman" w:hAnsi="Times New Roman"/>
          <w:sz w:val="18"/>
          <w:szCs w:val="18"/>
          <w:color w:val="231F20"/>
        </w:rPr>
        <w:t>75,000,000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300,000,000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118,971,900</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31F20"/>
        </w:rPr>
        <w:t>602,372,700, respectively. All applicable share and per share amounts in the accompanying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consolidated financial statements have been retrospectively adjusted to reflect the effects of the Restructuring.</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August 15, 2023, the Company granted 150,000,000 unvested shares to its directors, executive officers and certain employees under the 2023 Plan. All the unvested shares vested immediately on the date of grant. (see Note 15). The Company issued 150,000,000 ordinary shares to grantees on the date of grant in connection with aforementioned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completion of IPO, all of the Preferred Shares and Series Seed Preference Shares were automatically converted and re-designated into 1,433,372,111 Class A ordinary shares at the conversion ratio of one-for-one.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completion of IPO, all of the outstanding Ordinary Shares were automatically re-designated into 64,946,053 Class A Ordinary Shares and 741,254,447 Class B Ordinary Shares, respectively, on a one-for-one basis.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September 11, 2024, the Company completed its IPO on the NASDAQ Stock Market. In the offering, 3,333,335 American depositary shares (“ADSs”), representing 133,333,400 Class A Ordinary Shares, were issued and sold to the public at a price of US$6.2 per ADS. On September 13, 2024, an additional 128,888 ADSs were issued and sold to the underwriter through the partial exercise of the over-allotment option as stipulated in the Underwriting Agreement. The net proceeds to the Company from the IPO, after deducting commissions and offering expenses, were approximately US$19.1 million.</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23, 2025, the Company completed the registration of 13,087,595 ADSs, representing 523,503,831 Class A Ordinary Shares, under its share incentive plan.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2025, the Company had authorized 4,258,745,553 Class A ordinary shares and 741,254,447 Class B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1,636,807,084 and 2,160,310,915 Class A ordinary shares were issued and outstanding, respectively. All 741,254,447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ordinary shares authorized were issued and outstanding as of December 31, 2024 and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Angel Shares and Series Seed Preference Shares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On November 19, 2015, the Company entered into an investment agreement with an angel investor, pursuant to which the investor purchased 218,749,500 Series Angel shares from the Company for an aggregated consideration of RMB7.0 million (equivalent as US$1.0 million). See Note 13 on subsequent redesignation of all Series Angel shares.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On February 20, 2017, the Company entered into an investment agreement with two investors, pursuant to which the investors purchased 175,050,000 Series Seed preference shares from the Company for an aggregated consideration of US$2 million.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 xml:space="preserve">The rights and privileges of Ordinary shares, </w:t>
      </w:r>
      <w:r>
        <w:rPr>
          <w:rFonts w:ascii="Times New Roman" w:cs="Times New Roman" w:eastAsia="Times New Roman" w:hAnsi="Times New Roman"/>
          <w:sz w:val="18"/>
          <w:szCs w:val="18"/>
          <w:color w:val="000000"/>
        </w:rPr>
        <w:t>Series Angel shares and Series Seed</w:t>
      </w:r>
      <w:r>
        <w:rPr>
          <w:rFonts w:ascii="Times New Roman" w:cs="Times New Roman" w:eastAsia="Times New Roman" w:hAnsi="Times New Roman"/>
          <w:sz w:val="18"/>
          <w:szCs w:val="18"/>
          <w:color w:val="231F20"/>
        </w:rPr>
        <w:t xml:space="preserve"> preference shares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Series Angel shares and Series Seed </w:t>
      </w:r>
      <w:r>
        <w:rPr>
          <w:rFonts w:ascii="Times New Roman" w:cs="Times New Roman" w:eastAsia="Times New Roman" w:hAnsi="Times New Roman"/>
          <w:sz w:val="18"/>
          <w:szCs w:val="18"/>
          <w:color w:val="231F20"/>
        </w:rPr>
        <w:t>preference shares</w:t>
      </w:r>
      <w:r>
        <w:rPr>
          <w:rFonts w:ascii="Times New Roman" w:cs="Times New Roman" w:eastAsia="Times New Roman" w:hAnsi="Times New Roman"/>
          <w:sz w:val="18"/>
          <w:szCs w:val="18"/>
          <w:color w:val="auto"/>
        </w:rPr>
        <w:t xml:space="preserve"> shall be convertible, at the option of the shareholder, at any time after the date of issuance of Series Angel shares and Series Seed </w:t>
      </w:r>
      <w:r>
        <w:rPr>
          <w:rFonts w:ascii="Times New Roman" w:cs="Times New Roman" w:eastAsia="Times New Roman" w:hAnsi="Times New Roman"/>
          <w:sz w:val="18"/>
          <w:szCs w:val="18"/>
          <w:color w:val="231F20"/>
        </w:rPr>
        <w:t>preference shares</w:t>
      </w:r>
      <w:r>
        <w:rPr>
          <w:rFonts w:ascii="Times New Roman" w:cs="Times New Roman" w:eastAsia="Times New Roman" w:hAnsi="Times New Roman"/>
          <w:sz w:val="18"/>
          <w:szCs w:val="18"/>
          <w:color w:val="auto"/>
        </w:rPr>
        <w:t xml:space="preserve"> according to a conversion ratio, subject to adjustments for dilution, into ordinary shares. Series Angel shares and Series Seed </w:t>
      </w:r>
      <w:r>
        <w:rPr>
          <w:rFonts w:ascii="Times New Roman" w:cs="Times New Roman" w:eastAsia="Times New Roman" w:hAnsi="Times New Roman"/>
          <w:sz w:val="18"/>
          <w:szCs w:val="18"/>
          <w:color w:val="231F20"/>
        </w:rPr>
        <w:t>preference shares</w:t>
      </w:r>
      <w:r>
        <w:rPr>
          <w:rFonts w:ascii="Times New Roman" w:cs="Times New Roman" w:eastAsia="Times New Roman" w:hAnsi="Times New Roman"/>
          <w:sz w:val="18"/>
          <w:szCs w:val="18"/>
          <w:color w:val="auto"/>
        </w:rPr>
        <w:t xml:space="preserve"> shall automatically be converted into ordinary shares at the then applicable conversion ratio upon the closing of an underwritten public offering of the ordinary shares of the Group after the prior written approval of the holders of Series Angel shares and Series Seed </w:t>
      </w:r>
      <w:r>
        <w:rPr>
          <w:rFonts w:ascii="Times New Roman" w:cs="Times New Roman" w:eastAsia="Times New Roman" w:hAnsi="Times New Roman"/>
          <w:sz w:val="18"/>
          <w:szCs w:val="18"/>
          <w:color w:val="231F20"/>
        </w:rPr>
        <w:t>preference shares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Voting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Each Series Seed preferred share shall be entitled to that number of votes corresponding to the number of ordinary shares on an as-converted basis. The shareholders of Series Seed preference shares shall vote separately as a class with respect to certain specified matters. Otherwise, the shareholders of the Preference Shares, Series Seed preference shares and ordinary shares shall vote together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Dividend Rights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shareholders receive dividends on an as-if converted basis when dividends are declared. No dividends have been declared for shareholders for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Liquidation Rights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In the event of any liquidation, dissolution or winding up of the Company, </w:t>
      </w:r>
      <w:r>
        <w:rPr>
          <w:rFonts w:ascii="Times New Roman" w:cs="Times New Roman" w:eastAsia="Times New Roman" w:hAnsi="Times New Roman"/>
          <w:sz w:val="18"/>
          <w:szCs w:val="18"/>
          <w:color w:val="000000"/>
        </w:rPr>
        <w:t>or upon occurrence of a Deemed Liquidation Event as defined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Investors’ Rights Agreement, either </w:t>
      </w:r>
      <w:r>
        <w:rPr>
          <w:rFonts w:ascii="Times New Roman" w:cs="Times New Roman" w:eastAsia="Times New Roman" w:hAnsi="Times New Roman"/>
          <w:sz w:val="18"/>
          <w:szCs w:val="18"/>
          <w:color w:val="231F20"/>
        </w:rPr>
        <w:t>voluntary or involuntary, shareholders shall be entitled to receive an amount in the sequence of Series B redeemable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preference shares, Series A+ redeemable preference shares, Series A redeemable preference shares, Series Angel redeemable preference shares and Series Angle preference shares. After such liquidation amounts have been paid in full, all of the remaining assets and funds of the Company legally available for distribution to shareholders shall be ratably distributed among all shareholders on a as converted basis and pari passu basis in proportion to the number of shares held by each shareholder.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immediately prior to IPO</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September 11, 2024, immediately prior to the completion of IPO, all of the Series Seed Preference Shares were automatically converted and re-designated into 75,000,000 Class A ordinary shares at the conversion ratio of one-for-one.</w:t>
      </w:r>
    </w:p>
    <w:p>
      <w:pPr>
        <w:spacing w:after="0" w:line="266"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Compensation expenses recognized for share-based compensation granted by the Company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36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640" w:type="dxa"/>
            <w:vAlign w:val="bottom"/>
          </w:tcPr>
          <w:p>
            <w:pPr>
              <w:spacing w:after="0"/>
              <w:rPr>
                <w:sz w:val="12"/>
                <w:szCs w:val="12"/>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top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640" w:type="dxa"/>
            <w:vAlign w:val="bottom"/>
          </w:tcPr>
          <w:p>
            <w:pPr>
              <w:spacing w:after="0"/>
              <w:rPr>
                <w:sz w:val="18"/>
                <w:szCs w:val="18"/>
                <w:color w:val="auto"/>
              </w:rPr>
            </w:pPr>
          </w:p>
        </w:tc>
        <w:tc>
          <w:tcPr>
            <w:tcW w:w="10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USD</w:t>
            </w:r>
          </w:p>
        </w:tc>
        <w:tc>
          <w:tcPr>
            <w:tcW w:w="260" w:type="dxa"/>
            <w:vAlign w:val="bottom"/>
          </w:tcPr>
          <w:p>
            <w:pPr>
              <w:spacing w:after="0"/>
              <w:rPr>
                <w:sz w:val="18"/>
                <w:szCs w:val="18"/>
                <w:color w:val="auto"/>
              </w:rPr>
            </w:pPr>
          </w:p>
        </w:tc>
        <w:tc>
          <w:tcPr>
            <w:tcW w:w="10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548,762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1,767,234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255,325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2,308,520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353,116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7,456,800</w:t>
            </w: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2,406,330</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20,305,851</w:t>
            </w:r>
          </w:p>
        </w:tc>
        <w:tc>
          <w:tcPr>
            <w:tcW w:w="10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7,456,800</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7,030,846</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20,942,224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2023 Share Incentive Plan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June 2023, the Company adopted the 2023 Share Incentive Plan (the “2023 Plan”), under which the Company reserves 150,000,000 shares to motivate directors and employees of the Group. Shares granted to an employee under the 2023 Plan are generally subject to only service condition.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August 15, 2023, the Company granted 150,000,000 unvested shares to its directors, executive officers and certain employees under the 2023 Plan. All the unvested shares vested immediately on the date of grant. Based on the fair value per share at grant date, the Company recognized US$7.5 million of share-based compensation expense related to these shares in August 2023.</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ordinary shares as at grant date is US$0.05 per share. In determining the fair value of ordinary shares, the Company applied the income approach based on its discounted future cash flow using its best estimate as at the grant date. The major assumptions used in calculating include discount rate, comparable companies, discount for lack of marketability and revenue growth rates.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Effective as of March 9, 2026, the Company terminated the 2023 Plan and ceased making awards thereunder. All awards previously granted under the 2023 Plan remain outstanding and continue to be governed by its terms and applicable award agreements.</w:t>
      </w:r>
    </w:p>
    <w:p>
      <w:pPr>
        <w:spacing w:after="0" w:line="266"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2023 Share Incentive Plan II</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December 23, 2024, the Company adopted the 2023 Share Incentive Plan II (the “2023 Plan II”), under which the Company reserves 445,198,950 shares to motivate directors, employees and non-employees. Pursuant to the 2023 Plan II, restricted shares units were granted to its directors, certain employees and non-employee consultants of the Group as approved by the </w:t>
      </w:r>
      <w:r>
        <w:rPr>
          <w:rFonts w:ascii="Times New Roman" w:cs="Times New Roman" w:eastAsia="Times New Roman" w:hAnsi="Times New Roman"/>
          <w:sz w:val="18"/>
          <w:szCs w:val="18"/>
          <w:color w:val="231F20"/>
        </w:rPr>
        <w:t>administrator appointed by the</w:t>
      </w:r>
      <w:r>
        <w:rPr>
          <w:rFonts w:ascii="Times New Roman" w:cs="Times New Roman" w:eastAsia="Times New Roman" w:hAnsi="Times New Roman"/>
          <w:sz w:val="18"/>
          <w:szCs w:val="18"/>
          <w:color w:val="auto"/>
        </w:rPr>
        <w:t xml:space="preserve"> board of directors. Shares granted under the 2023 Plan II are generally subject to only service condition but with multiple vesting schedules.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share units granted is estimated based on the fair market value of the underlying ordinary shares of the Company on the date of grant.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restricted shares units granted under the 2023 Plan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 ADS)</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4,299,891</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(3,084,129)</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1,215,762</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4,387,992</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(4,325,402)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(113,785)</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1,164,567</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total share-based compensation expenses recognized for the restricted shares units granted under the 2023 Plan II were nil, US$7,030,846 and US$6,183,880,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there were US$2,480,154 and US$1,886,411 of unrecognized share-based compensation expenses related to the restricted share units granted under the 2023 Plan II. Such unrecognized expenses are expected to be recognized over a weighted-average period of 0.96 years and 1.26 years as of December 31, 2024 and 2025,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Effective as of March 9, 2026, the Company terminated the 2023 Plan II and ceased making awards thereunder. All awards previously granted under the 2023 Plan II remain outstanding and continue to be governed by its terms and applicable award agreements.</w:t>
      </w:r>
    </w:p>
    <w:p>
      <w:pPr>
        <w:spacing w:after="0" w:line="266"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2025 Share Incentive Plan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April 18, 2025, the Company adopted the 2025 Share Incentive Plan (the “2025 Plan”), under which the Company reserved 445,198,950 shares to motivate officers. Shares granted to officers under the 2025 Plan are generally subject to only service condition.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share units granted is estimated based on the fair market value of the underlying ordinary shares of the Company on the date of grant.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restricted shares units granted under the 2025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 ADS)</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2024</w:t>
            </w:r>
          </w:p>
        </w:tc>
        <w:tc>
          <w:tcPr>
            <w:tcW w:w="1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11,129,973</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(11,129,973)</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total share-based compensation expenses recognized for the restricted shares units granted under the 2025 Plan were US$14,758,344. As of December 31, 2025, there were nil of unrecognized share-based compensation expenses related to the restricted share units granted under the 2025 Plan.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Effective as of March 9, 2026, the Company terminated the 2025 Plan and ceased making awards thereunder. All awards previously granted under the 2025 Plan remain outstanding and continue to be governed by its terms and applicable award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17"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43" w:name="page144"/>
    <w:bookmarkEnd w:id="14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Group’s PRC subsidiaries are subject to the PRC Corporate Income Tax Law (“PRC CIT Law”) at the statutory income tax rate of 25%, unless otherwise specified. According to the PRC CIT Law, entities that qualify as “high-and-new technology enterprises” (“HNTE”) are entitled to a preferential income tax rate of 15%. In 2020, X-Charge Technology received the approval from the tax authority that it qualified as an HNTE, and the certification has been renewed in 2023. The certificate entitled X-Charge Technology to the preferential income tax rate of 15% effective retroactively from January 1, 2020 to December 31, 2025, if all the criteria for HNTE status could be satisfied in the relevant year. And the Group is re-applying for an HNTE certificate when the prior certificate expires.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2023, 2024 and 2025, the subsidiary in Germany’s primary statutory tax rate was 32.275%, consisting of the German corporate tax rate of 15%, a 5.5% solidarity surcharge on the corporate tax rate, and a trade tax rate of 16.45%.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current U.S. federal corporate income tax, the Company’s subsidiary in United States is subject to 21% income tax on its taxable income generated from operations in United States. The company’s subsidiaries have no taxable income for all periods presented.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income (loss) before income taxes are as follows:</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39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1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16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1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PRC</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821,344</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(1,460,541)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(5,253,169)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997,619</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(45,090)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(969,957)</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Cayman</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(8,913,071)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(7,961,485)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(23,277,629)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(989,532)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(2,473,420)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(3,001,890)</w:t>
            </w:r>
          </w:p>
        </w:tc>
      </w:tr>
      <w:tr>
        <w:trPr>
          <w:trHeight w:val="20"/>
        </w:trPr>
        <w:tc>
          <w:tcPr>
            <w:tcW w:w="5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(32,502,645)</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Both current and deferred income taxes were nil for the years ended December 31, 2023, 2024 and 2025.</w:t>
      </w:r>
    </w:p>
    <w:p>
      <w:pPr>
        <w:spacing w:after="0" w:line="252" w:lineRule="exact"/>
        <w:rPr>
          <w:sz w:val="20"/>
          <w:szCs w:val="20"/>
          <w:color w:val="auto"/>
        </w:rPr>
      </w:pPr>
    </w:p>
    <w:p>
      <w:pPr>
        <w:ind w:right="1980" w:firstLine="509"/>
        <w:spacing w:after="0" w:line="282" w:lineRule="auto"/>
        <w:rPr>
          <w:sz w:val="20"/>
          <w:szCs w:val="20"/>
          <w:color w:val="auto"/>
        </w:rPr>
      </w:pPr>
      <w:r>
        <w:rPr>
          <w:rFonts w:ascii="Times New Roman" w:cs="Times New Roman" w:eastAsia="Times New Roman" w:hAnsi="Times New Roman"/>
          <w:sz w:val="18"/>
          <w:szCs w:val="18"/>
          <w:color w:val="auto"/>
        </w:rPr>
        <w:t>Reconciliation of the differences between PRC statutory income tax rate and the Group's effective income tax rate for the years ended December 31, 2023 and 2024 is as follows:</w:t>
      </w:r>
    </w:p>
    <w:p>
      <w:pPr>
        <w:spacing w:after="0" w:line="19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2"/>
                <w:szCs w:val="12"/>
                <w:color w:val="auto"/>
              </w:rPr>
            </w:pPr>
          </w:p>
        </w:tc>
      </w:tr>
      <w:tr>
        <w:trPr>
          <w:trHeight w:val="210"/>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PRC Statutory income tax rate</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r>
      <w:tr>
        <w:trPr>
          <w:trHeight w:val="196"/>
        </w:trPr>
        <w:tc>
          <w:tcPr>
            <w:tcW w:w="84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Increase/(decrease) in effective income tax rate resulting</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from:</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rate differential for non-PRC entities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Preferential tax rate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 bonus deduction</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 of true-up on NOL</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0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w:t>
            </w: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1454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14541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1460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-8255</wp:posOffset>
            </wp:positionV>
            <wp:extent cx="1460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is headquartered in the United States and Germany and the subsidiaries incorporated in the PRC functions as the Group’s primary business operation center. Therefore, the Group uses the PRC’s income tax rate as applicable statutory income tax rate.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 Summary of Significant Accounting Policies, the reconciliation of taxes at the PRC statutory rate to our provision for (benefit from) income taxes for the year ended December 31, 2025 was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7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r>
      <w:tr>
        <w:trPr>
          <w:trHeight w:val="142"/>
        </w:trPr>
        <w:tc>
          <w:tcPr>
            <w:tcW w:w="75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(32,502,645)</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Computed income tax benefit with PRC statutory income tax rate</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(8,125,661)</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Domestic tax effects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Preferential tax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525,390</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 bonus deduction</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(567,286)</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45,259</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1,696,837</w:t>
            </w:r>
          </w:p>
        </w:tc>
        <w:tc>
          <w:tcPr>
            <w:tcW w:w="3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True-up on NOL</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(387,864)</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Statutory tax rate difference between United States and PRC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120,076</w:t>
            </w:r>
          </w:p>
        </w:tc>
        <w:tc>
          <w:tcPr>
            <w:tcW w:w="3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Other non-deductible expenses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Change in valuation allowance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620,584</w:t>
            </w:r>
          </w:p>
        </w:tc>
        <w:tc>
          <w:tcPr>
            <w:tcW w:w="3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Statutory tax rate difference between Germany and PRC</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(70,564)</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Other non-deductible expenses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Change in valuation allowance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311,565</w:t>
            </w:r>
          </w:p>
        </w:tc>
        <w:tc>
          <w:tcPr>
            <w:tcW w:w="3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Cayman</w:t>
            </w: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Statutory tax rate difference between Cayman and PRC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5,820,362</w:t>
            </w:r>
          </w:p>
        </w:tc>
        <w:tc>
          <w:tcPr>
            <w:tcW w:w="3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49"/>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1117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117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 Summary of Significant Accounting Policies, cash paid for income taxes, net of refunds, during the year ended December 31, 2025 was as follows:</w:t>
      </w:r>
    </w:p>
    <w:p>
      <w:pPr>
        <w:spacing w:after="0" w:line="15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1580" w:type="dxa"/>
            <w:vAlign w:val="bottom"/>
            <w:tcBorders>
              <w:top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60" w:type="dxa"/>
            <w:vAlign w:val="bottom"/>
            <w:tcBorders>
              <w:top w:val="single" w:sz="8" w:color="auto"/>
            </w:tcBorders>
            <w:gridSpan w:val="3"/>
          </w:tcPr>
          <w:p>
            <w:pPr>
              <w:ind w:left="16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2"/>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580" w:type="dxa"/>
            <w:vAlign w:val="bottom"/>
            <w:tcBorders>
              <w:top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tcBorders>
              <w:top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PRC</w:t>
            </w:r>
          </w:p>
        </w:tc>
        <w:tc>
          <w:tcPr>
            <w:tcW w:w="20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82,557</w:t>
            </w:r>
          </w:p>
        </w:tc>
        <w:tc>
          <w:tcPr>
            <w:tcW w:w="28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 taxes paid</w:t>
            </w:r>
          </w:p>
        </w:tc>
        <w:tc>
          <w:tcPr>
            <w:tcW w:w="20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82,557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45,457</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1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F-38</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-1079500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-1079500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assets and deferred income tax liabilities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5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670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5"/>
                <w:szCs w:val="15"/>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60" w:type="dxa"/>
            <w:vAlign w:val="bottom"/>
          </w:tcPr>
          <w:p>
            <w:pPr>
              <w:spacing w:after="0"/>
              <w:rPr>
                <w:sz w:val="9"/>
                <w:szCs w:val="9"/>
                <w:color w:val="auto"/>
              </w:rPr>
            </w:pPr>
          </w:p>
        </w:tc>
        <w:tc>
          <w:tcPr>
            <w:tcW w:w="670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118,647</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276,154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2,855,567</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5,101,529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928,639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268,714</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271,924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4,447,721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7,219,445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(4,160,082)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(6,918,609)</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 of valuation allowance</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287,639</w:t>
            </w: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300,836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off against deferred tax liabilities</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(287,639)</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(300,836)</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134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(287,639)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(300,836)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liabilities</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(287,639)</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(300,836)</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off against deferred tax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287,639</w:t>
            </w: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300,836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-1602105</wp:posOffset>
            </wp:positionV>
            <wp:extent cx="603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-1602105</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-1319530</wp:posOffset>
            </wp:positionV>
            <wp:extent cx="603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-1319530</wp:posOffset>
            </wp:positionV>
            <wp:extent cx="514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-1036320</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-1036320</wp:posOffset>
            </wp:positionV>
            <wp:extent cx="514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-316865</wp:posOffset>
            </wp:positionV>
            <wp:extent cx="603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51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Group had net operating loss carry forwards of US$25.0 million attributable to the PRC subsidiaries. As of December 31, 2025, the net operating loss carryforwards from PRC will expire in calendar year 2027 through 2031 and 2033 through 2035, if not utilized. As of December 31, 2025, the Group had net operating loss carry forwards of US$1.0 million for both corporation tax and trade tax arising in Germany and US$4.9 million arising in United States, respectively, which can be carried forward without an expiration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Tax loss carried forward by the PRC subsidiaries will expire, if unused, by the following period-end:</w:t>
      </w:r>
    </w:p>
    <w:p>
      <w:pPr>
        <w:spacing w:after="0" w:line="211" w:lineRule="exact"/>
        <w:rPr>
          <w:sz w:val="20"/>
          <w:szCs w:val="20"/>
          <w:color w:val="auto"/>
        </w:rPr>
      </w:pPr>
    </w:p>
    <w:tbl>
      <w:tblPr>
        <w:tblLayout w:type="fixed"/>
        <w:tblInd w:w="2260" w:type="dxa"/>
        <w:tblCellMar>
          <w:top w:w="0" w:type="dxa"/>
          <w:left w:w="0" w:type="dxa"/>
          <w:bottom w:w="0" w:type="dxa"/>
          <w:right w:w="0" w:type="dxa"/>
        </w:tblCellMar>
      </w:tblPr>
      <w:tr>
        <w:trPr>
          <w:trHeight w:val="208"/>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1,855,867</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4,694,906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2,788,564</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2,886,996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3,517,673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1,345,594</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339,184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7,551,436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24,980,220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valuation allowance is provided against deferred income tax assets when the Group determines that it is more likely than not that some portion or all of the deferred income tax assets will not be utilized in the foreseeable future. In making such determination, the Group evaluates a variety of factors including the Group’s operating history, accumulated deficit, existence of taxable temporary differences and reversal periods. The ultimate realization of deferred income tax assets is dependent upon the generation of future taxable income during the periods in which those temporary differences become deductible or utilizable. Management considers projected future taxable income and tax planning strategies in making this assessment. The Group has considered its history of losses and concluded that it is more likely than not that the Group will not generate future taxable income to utilize the deferred tax assets. Accordingly, as of December 31, 2024 and 2025, a US$4,160,082 and US$6,918,609 valuation allowance has been established respectively. Changes in valuation allowance are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6" w:name="page147"/>
    <w:bookmarkEnd w:id="146"/>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7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280" w:type="dxa"/>
            <w:vAlign w:val="bottom"/>
          </w:tcPr>
          <w:p>
            <w:pPr>
              <w:spacing w:after="0"/>
              <w:rPr>
                <w:sz w:val="12"/>
                <w:szCs w:val="12"/>
                <w:color w:val="auto"/>
              </w:rPr>
            </w:pPr>
          </w:p>
        </w:tc>
        <w:tc>
          <w:tcPr>
            <w:tcW w:w="1100" w:type="dxa"/>
            <w:vAlign w:val="bottom"/>
            <w:tcBorders>
              <w:top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top w:val="single" w:sz="8" w:color="auto"/>
            </w:tcBorders>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1100" w:type="dxa"/>
            <w:vAlign w:val="bottom"/>
            <w:tcBorders>
              <w:top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2,295,587</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2,529,266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4,160,082</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589,668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2,628,986</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of valuation allowance</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(330,665)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translation adjustments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129,541</w:t>
            </w:r>
          </w:p>
        </w:tc>
        <w:tc>
          <w:tcPr>
            <w:tcW w:w="100" w:type="dxa"/>
            <w:vAlign w:val="bottom"/>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2,529,266</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4,160,082</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6,918,609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514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RMB100,000. In the case of transfer pricing issues, the statute of limitation is 10 years. There is no statute of limitation in the case of tax evasion. The income tax returns of the Company’s PRC subsidiaries for the years from 2020 to 2025 are open to examination by the PRC tax authorities. The subsidiary in Germany is subject to the audit by federal, state, local and foreign income tax authorities. According to the statute of limitation, the German tax authorities may initiate additional audits of the tax years for 2021 through 2025. The subsidiary in United States is subject to US federal income tax examinations by the Internal Revenue Service (“IRS”) for tax years ending December 31, 2023, 2024, and 2025. Under the Internal Revenue Code, the statute of limitations for the IRS to assess additional taxes generally expires three years from the later of the tax return filing date or its due date (including extensions). However, this period may be extended to six years in cases of substantial understatement of income (≥25% of gross income) or indefinitely in instances of fraud or failure to file a return.</w:t>
      </w:r>
    </w:p>
    <w:p>
      <w:pPr>
        <w:spacing w:after="0" w:line="298"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2025, the Group did not have any unrecognized uncertain tax positions and the Group does not believe that its unrecognized tax benefits will change over the next twelve months. For the year ended December 31, 2025, the Company did not incur any interest and penalties related to potential underpaid income tax expenses.</w:t>
      </w:r>
    </w:p>
    <w:p>
      <w:pPr>
        <w:spacing w:after="0" w:line="176"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For the purpose of calculating loss per share, the number of shares used in the calculation reflects the outstanding shares of the Company as if the Restructuring as described in Note 1 took place at the beginning of the earliest period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34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440" w:type="dxa"/>
            <w:vAlign w:val="bottom"/>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share—basic and diluted:</w:t>
            </w: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preference shares to redemption value</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(2,377,429)</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(1,162,826)</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4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 of the Company —basic</w:t>
            </w: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(10,461,069)</w:t>
            </w:r>
          </w:p>
        </w:tc>
        <w:tc>
          <w:tcPr>
            <w:tcW w:w="17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Class A and Class B ordinary share of the</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Company —basic and diluted*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(13,103,362)</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(32,502,645)</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713,323,788</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Class A and Class B ordinary shares</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FF0FC"/>
          </w:tcPr>
          <w:p>
            <w:pPr>
              <w:spacing w:after="0"/>
              <w:rPr>
                <w:sz w:val="16"/>
                <w:szCs w:val="16"/>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1,284,218,512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2,608,976,919</w:t>
            </w:r>
          </w:p>
        </w:tc>
        <w:tc>
          <w:tcPr>
            <w:tcW w:w="80" w:type="dxa"/>
            <w:vAlign w:val="bottom"/>
            <w:shd w:val="clear" w:color="auto" w:fill="CFF0FC"/>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w:t>
            </w: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vMerge w:val="continue"/>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vested restricted share units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187,986,969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Denominator used in computing loss per share—basic and diluted</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713,323,788</w:t>
            </w:r>
          </w:p>
        </w:tc>
        <w:tc>
          <w:tcPr>
            <w:tcW w:w="18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1,287,213,767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2,796,963,888</w:t>
            </w:r>
          </w:p>
        </w:tc>
        <w:tc>
          <w:tcPr>
            <w:tcW w:w="80" w:type="dxa"/>
            <w:vAlign w:val="bottom"/>
            <w:shd w:val="clear" w:color="auto" w:fill="CFF0FC"/>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w:t>
            </w: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share—basic and diluted (US$)</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(0.01)</w:t>
            </w:r>
          </w:p>
        </w:tc>
        <w:tc>
          <w:tcPr>
            <w:tcW w:w="1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vMerge w:val="continue"/>
          </w:tcPr>
          <w:p>
            <w:pPr>
              <w:spacing w:after="0"/>
              <w:rPr>
                <w:sz w:val="16"/>
                <w:szCs w:val="16"/>
                <w:color w:val="auto"/>
              </w:rPr>
            </w:pPr>
          </w:p>
        </w:tc>
        <w:tc>
          <w:tcPr>
            <w:tcW w:w="49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Loss per Class A and Class B ordinary share—basic and</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FF0FC"/>
          </w:tcPr>
          <w:p>
            <w:pPr>
              <w:spacing w:after="0"/>
              <w:rPr>
                <w:sz w:val="16"/>
                <w:szCs w:val="16"/>
                <w:color w:val="auto"/>
              </w:rPr>
            </w:pPr>
          </w:p>
        </w:tc>
        <w:tc>
          <w:tcPr>
            <w:tcW w:w="1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shd w:val="clear" w:color="auto" w:fill="CFF0FC"/>
          </w:tcPr>
          <w:p>
            <w:pPr>
              <w:spacing w:after="0"/>
              <w:rPr>
                <w:sz w:val="16"/>
                <w:szCs w:val="16"/>
                <w:color w:val="auto"/>
              </w:rPr>
            </w:pPr>
          </w:p>
        </w:tc>
        <w:tc>
          <w:tcPr>
            <w:tcW w:w="11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(US$)</w:t>
            </w:r>
          </w:p>
        </w:tc>
        <w:tc>
          <w:tcPr>
            <w:tcW w:w="144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6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920" w:type="dxa"/>
            <w:vAlign w:val="bottom"/>
          </w:tcPr>
          <w:p>
            <w:pPr>
              <w:spacing w:after="0"/>
              <w:rPr>
                <w:sz w:val="24"/>
                <w:szCs w:val="24"/>
                <w:color w:val="auto"/>
              </w:rPr>
            </w:pPr>
          </w:p>
        </w:tc>
        <w:tc>
          <w:tcPr>
            <w:tcW w:w="4900" w:type="dxa"/>
            <w:vAlign w:val="bottom"/>
            <w:tcBorders>
              <w:top w:val="single" w:sz="8" w:color="CFF0FC"/>
            </w:tcBorders>
          </w:tcPr>
          <w:p>
            <w:pPr>
              <w:ind w:left="4540"/>
              <w:spacing w:after="0"/>
              <w:rPr>
                <w:sz w:val="20"/>
                <w:szCs w:val="20"/>
                <w:color w:val="auto"/>
              </w:rPr>
            </w:pPr>
            <w:r>
              <w:rPr>
                <w:rFonts w:ascii="Times New Roman" w:cs="Times New Roman" w:eastAsia="Times New Roman" w:hAnsi="Times New Roman"/>
                <w:sz w:val="18"/>
                <w:szCs w:val="18"/>
                <w:color w:val="auto"/>
                <w:w w:val="99"/>
              </w:rPr>
              <w:t>F-40</w:t>
            </w:r>
          </w:p>
        </w:tc>
        <w:tc>
          <w:tcPr>
            <w:tcW w:w="1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-1902460</wp:posOffset>
            </wp:positionV>
            <wp:extent cx="596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-1902460</wp:posOffset>
            </wp:positionV>
            <wp:extent cx="6032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-1902460</wp:posOffset>
            </wp:positionV>
            <wp:extent cx="51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-1336675</wp:posOffset>
            </wp:positionV>
            <wp:extent cx="596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-1336675</wp:posOffset>
            </wp:positionV>
            <wp:extent cx="603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-1336675</wp:posOffset>
            </wp:positionV>
            <wp:extent cx="514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-916305</wp:posOffset>
            </wp:positionV>
            <wp:extent cx="596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-916305</wp:posOffset>
            </wp:positionV>
            <wp:extent cx="603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-916305</wp:posOffset>
            </wp:positionV>
            <wp:extent cx="514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7" w:name="page148"/>
    <w:bookmarkEnd w:id="147"/>
    <w:p>
      <w:pPr>
        <w:ind w:left="520"/>
        <w:spacing w:after="0"/>
        <w:rPr>
          <w:sz w:val="20"/>
          <w:szCs w:val="20"/>
          <w:color w:val="auto"/>
        </w:rPr>
      </w:pPr>
      <w:r>
        <w:rPr>
          <w:rFonts w:ascii="Times New Roman" w:cs="Times New Roman" w:eastAsia="Times New Roman" w:hAnsi="Times New Roman"/>
          <w:sz w:val="18"/>
          <w:szCs w:val="18"/>
          <w:color w:val="auto"/>
        </w:rPr>
        <w:t>The following ordinary shares equivalents were excluded from the computation to eliminate any antidilutive effect:</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15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5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preference shares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1,096,344,600</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Series Seed preference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175,050,000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liability (c)</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8,786,150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6,892,767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8,410,133</w:t>
            </w:r>
          </w:p>
        </w:tc>
        <w:tc>
          <w:tcPr>
            <w:tcW w:w="80" w:type="dxa"/>
            <w:vAlign w:val="bottom"/>
            <w:shd w:val="clear" w:color="auto" w:fill="CFF0FC"/>
          </w:tcPr>
          <w:p>
            <w:pPr>
              <w:spacing w:after="0"/>
              <w:rPr>
                <w:sz w:val="18"/>
                <w:szCs w:val="18"/>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debts (d)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199,710,898</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 The Company has a dual-class share structure, with each Class A ordinary share carrying 1 vote and each Class B ordinary share carrying 10 votes. All share classes enjoy equal rights to dividends; therefore, the allocation of net profits is independent of voting rights.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 Vested but unregistered restricted share units are included in the denominator of basic earnings (loss) per share calculation once there were no further vesting conditions or contingencies associated with them, as they are not considered contingently issuable shares. Accordingly, the weighted average number of shares of 2,995,255 and 187,986,969 are related to these restricted share units are included in the denominator for the computation of basic EPS for the years ended December 31, 2024 and 2025.</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 The warrants represent 0.2898% of the Company's equity interest, calculated on a fully diluted basis according to the warrant agreement for the years ended December 31, 2024 and 2025.</w:t>
      </w:r>
    </w:p>
    <w:p>
      <w:pPr>
        <w:jc w:val="both"/>
        <w:spacing w:after="0" w:line="282" w:lineRule="auto"/>
        <w:rPr>
          <w:sz w:val="20"/>
          <w:szCs w:val="20"/>
          <w:color w:val="auto"/>
        </w:rPr>
      </w:pPr>
      <w:r>
        <w:rPr>
          <w:rFonts w:ascii="Times New Roman" w:cs="Times New Roman" w:eastAsia="Times New Roman" w:hAnsi="Times New Roman"/>
          <w:sz w:val="18"/>
          <w:szCs w:val="18"/>
          <w:color w:val="auto"/>
        </w:rPr>
        <w:t>d The conversion price used to calculate ordinary shares equivalents is RMB0.3964 per share. The exchange rate of RMB against US$ used was 7.0827, which was the exchange rate by the People’s Bank of China on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8" w:name="page149"/>
    <w:bookmarkEnd w:id="148"/>
    <w:p>
      <w:pPr>
        <w:ind w:left="520" w:hanging="512"/>
        <w:spacing w:after="0"/>
        <w:tabs>
          <w:tab w:leader="none" w:pos="5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 AND TRANSACTIONS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list of related parties which the Company has major transactions with:</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Ding Rui, one of the Founders.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Zhichong Technology (Shenzhen) Co., Ltd (“Shenzhen Zhichong”), which is 49% owned by the Group.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Puyan Enterprise Management Co.,Ltd (“Beijing Puyan”), which is a related party of one of the Group’s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Zhichong New Energy Technology Co., Ltd (“Zhichong New Energy”), which is 12% owned by the Group.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Hou Yifei, one of the Founders.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mainly had the following transactions and balances with related parties: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5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Major transactions with related parties</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loans to Beijing Puyan</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(i)</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repayment of loans to Beijing Puyan</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Beijing Puyan</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(i)</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0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interest free advance to Mr. Ding Rui</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270,823</w:t>
            </w:r>
          </w:p>
        </w:tc>
        <w:tc>
          <w:tcPr>
            <w:tcW w:w="200" w:type="dxa"/>
            <w:vAlign w:val="bottom"/>
          </w:tcPr>
          <w:p>
            <w:pPr>
              <w:spacing w:after="0"/>
              <w:rPr>
                <w:sz w:val="18"/>
                <w:szCs w:val="18"/>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collection of the advance to Mr. Ding Rui</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(ii)</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materials from Shenzhen Zhichong</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(iii)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428,046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147,611</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 products to Shenzhen Zhichong</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(iii)</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10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Sell products to Zhichong New Energy</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(iv)</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1,690,196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743,420</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loans to Zhichong New Energy</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(v)</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94,738</w:t>
            </w:r>
          </w:p>
        </w:tc>
        <w:tc>
          <w:tcPr>
            <w:tcW w:w="2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repayment of loans to Zhichong New Energy</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(v)</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free advances to two executive officers</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(vi)</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2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collection of advances to the two executive officers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(vi)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200" w:type="dxa"/>
            <w:vAlign w:val="bottom"/>
          </w:tcPr>
          <w:p>
            <w:pPr>
              <w:spacing w:after="0"/>
              <w:rPr>
                <w:sz w:val="18"/>
                <w:szCs w:val="18"/>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free advance to Mr. Hou Yifei</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(vii)</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406,237</w:t>
            </w:r>
          </w:p>
        </w:tc>
        <w:tc>
          <w:tcPr>
            <w:tcW w:w="2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collection of the advance to Mr. Hou Yifei</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(vii)</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405,938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Balance of amounts due from related parties:</w:t>
            </w:r>
          </w:p>
        </w:tc>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8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top w:val="single" w:sz="8" w:color="auto"/>
            </w:tcBorders>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Beijing Puyan</w:t>
            </w:r>
          </w:p>
        </w:tc>
        <w:tc>
          <w:tcPr>
            <w:tcW w:w="1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(i)</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298,254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273,066</w:t>
            </w:r>
          </w:p>
        </w:tc>
        <w:tc>
          <w:tcPr>
            <w:tcW w:w="100" w:type="dxa"/>
            <w:vAlign w:val="bottom"/>
            <w:shd w:val="clear" w:color="auto" w:fill="CFF0F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Shenzhen Zhichong</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(iii)</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Zhichong New Energy</w:t>
            </w:r>
          </w:p>
        </w:tc>
        <w:tc>
          <w:tcPr>
            <w:tcW w:w="19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(iv)</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1,917,418</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2,737,608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gross</w:t>
            </w:r>
          </w:p>
        </w:tc>
        <w:tc>
          <w:tcPr>
            <w:tcW w:w="19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2,215,672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3,022,625</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9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(504,792)</w:t>
            </w: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54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Amounts due from related parties, net</w:t>
            </w:r>
          </w:p>
        </w:tc>
        <w:tc>
          <w:tcPr>
            <w:tcW w:w="19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2,215,672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2,517,833</w:t>
            </w:r>
          </w:p>
        </w:tc>
        <w:tc>
          <w:tcPr>
            <w:tcW w:w="10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-454025</wp:posOffset>
            </wp:positionV>
            <wp:extent cx="514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-454025</wp:posOffset>
            </wp:positionV>
            <wp:extent cx="596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movements of the allowance for doubtful accounts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1700" w:type="dxa"/>
            <w:vAlign w:val="bottom"/>
            <w:tcBorders>
              <w:bottom w:val="single" w:sz="8" w:color="auto"/>
            </w:tcBorders>
          </w:tcPr>
          <w:p>
            <w:pPr>
              <w:ind w:left="13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0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1700" w:type="dxa"/>
            <w:vAlign w:val="bottom"/>
            <w:tcBorders>
              <w:bottom w:val="single" w:sz="8" w:color="auto"/>
            </w:tcBorders>
          </w:tcPr>
          <w:p>
            <w:pPr>
              <w:ind w:left="13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0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0"/>
        </w:trPr>
        <w:tc>
          <w:tcPr>
            <w:tcW w:w="7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48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4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(496,730)</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00" w:type="dxa"/>
            <w:vAlign w:val="bottom"/>
            <w:shd w:val="clear" w:color="auto" w:fill="CFF0FC"/>
          </w:tcPr>
          <w:p>
            <w:pPr>
              <w:spacing w:after="0"/>
              <w:rPr>
                <w:sz w:val="18"/>
                <w:szCs w:val="18"/>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(8,062)</w:t>
            </w:r>
          </w:p>
        </w:tc>
      </w:tr>
      <w:tr>
        <w:trPr>
          <w:trHeight w:val="20"/>
        </w:trPr>
        <w:tc>
          <w:tcPr>
            <w:tcW w:w="53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70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(504,792)</w:t>
            </w:r>
          </w:p>
        </w:tc>
      </w:tr>
      <w:tr>
        <w:trPr>
          <w:trHeight w:val="20"/>
        </w:trPr>
        <w:tc>
          <w:tcPr>
            <w:tcW w:w="53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532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F-42</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-1079500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9" w:name="page150"/>
    <w:bookmarkEnd w:id="149"/>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Balance of amounts due to a related party</w:t>
      </w:r>
    </w:p>
    <w:p>
      <w:pPr>
        <w:spacing w:after="0" w:line="19"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Borders>
              <w:bottom w:val="single" w:sz="8" w:color="auto"/>
            </w:tcBorders>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Borders>
              <w:bottom w:val="single" w:sz="8" w:color="auto"/>
            </w:tcBorders>
          </w:tcPr>
          <w:p>
            <w:pPr>
              <w:jc w:val="right"/>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Shenzhen Zhichong</w:t>
            </w:r>
          </w:p>
        </w:tc>
        <w:tc>
          <w:tcPr>
            <w:tcW w:w="2400" w:type="dxa"/>
            <w:vAlign w:val="bottom"/>
            <w:tcBorders>
              <w:bottom w:val="single" w:sz="8" w:color="CFF0FC"/>
            </w:tcBorders>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(iii)</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125,748</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164,046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125,748</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164,046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-170815</wp:posOffset>
            </wp:positionV>
            <wp:extent cx="514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56"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2021, the Board of Directors of X-Charge Technology approved a loan agreement between X-Charge Technology and Beijing Puyan, pursuant to which X-Charge Technology provided a two-year loan to Beijing Puyan in the amount of RMB30.3 million (equivalent to US$4.2 million) bearing interest at a rate of 3.85% per annum. The loans in the amount of RMB10 million (equivalent to US$1.4 million) was repaid by Beijing Puyan in December 2022, RMB20 million (equivalent to US$2.8 million) was repaid by Beijing Puyan in January 2023. RMB0.3 million (equivalent to US$55 thousand) was repaid by Beijing Puyan in January 2024 and July 2024. US$7 thousand, US$2 thousand and US$31.5 thousand interest income were recognized for the years ended December 31, 2023, 2024 and 2025, respectively.</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Group provided interest-free advance in the amount of RMB1.7 million (equivalent to US$0.24 million) to Mr. Ding Rui for his personal use. The advance was fully collected by the Group in 2023.</w:t>
      </w:r>
    </w:p>
    <w:p>
      <w:pPr>
        <w:spacing w:after="0" w:line="54" w:lineRule="exact"/>
        <w:rPr>
          <w:sz w:val="20"/>
          <w:szCs w:val="20"/>
          <w:color w:val="auto"/>
        </w:rPr>
      </w:pPr>
    </w:p>
    <w:p>
      <w:pPr>
        <w:ind w:left="1020" w:right="20" w:firstLine="29"/>
        <w:spacing w:after="0" w:line="282" w:lineRule="auto"/>
        <w:rPr>
          <w:sz w:val="20"/>
          <w:szCs w:val="20"/>
          <w:color w:val="auto"/>
        </w:rPr>
      </w:pPr>
      <w:r>
        <w:rPr>
          <w:rFonts w:ascii="Times New Roman" w:cs="Times New Roman" w:eastAsia="Times New Roman" w:hAnsi="Times New Roman"/>
          <w:sz w:val="18"/>
          <w:szCs w:val="18"/>
          <w:color w:val="auto"/>
        </w:rPr>
        <w:t>In 2023, the Group provided interest-free advance in the amount of RMB1.9 million (equivalent to US$0.3 million) to Mr. Ding Rui for his personal use. The advance was fully collected by the Group in January 2024.</w:t>
      </w:r>
    </w:p>
    <w:p>
      <w:pPr>
        <w:spacing w:after="0" w:line="54" w:lineRule="exact"/>
        <w:rPr>
          <w:sz w:val="20"/>
          <w:szCs w:val="20"/>
          <w:color w:val="auto"/>
        </w:rPr>
      </w:pPr>
    </w:p>
    <w:p>
      <w:pPr>
        <w:jc w:val="both"/>
        <w:ind w:left="1020" w:hanging="503"/>
        <w:spacing w:after="0" w:line="255"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certain types of EV chargers from Shenzhen Zhichong in the amount of US$71 thousand, US$0.4 million and US$0.1 million for the years ended December 31, 2023, 2024 and 2025, respectively. The outstanding balance of accounts payable to Shenzhen Zhichong were US$0.1 million and US$0.2 million as of December 31, 2024 and 2025, respectively, which were included in amounts due to related party on the audited consolidated balance sheets.</w:t>
      </w:r>
    </w:p>
    <w:p>
      <w:pPr>
        <w:spacing w:after="0" w:line="2" w:lineRule="exact"/>
        <w:rPr>
          <w:rFonts w:ascii="Times New Roman" w:cs="Times New Roman" w:eastAsia="Times New Roman" w:hAnsi="Times New Roman"/>
          <w:sz w:val="18"/>
          <w:szCs w:val="18"/>
          <w:color w:val="auto"/>
        </w:rPr>
      </w:pPr>
    </w:p>
    <w:p>
      <w:pPr>
        <w:jc w:val="both"/>
        <w:ind w:lef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Besides, the Group also sold certain types of EV chargers to Shenzhen Zhichong in the amount of US$10 thousand for the year ended December 31, 2025. The outstanding balance of accounts receivable from Shenzhen Zhichong were nil and US$12 thousand as of December 31, 2024 and 2025, respectively, which were included in amounts due from related parties, net on the audited consolidated balance sheets.</w:t>
      </w:r>
    </w:p>
    <w:p>
      <w:pPr>
        <w:spacing w:after="0" w:line="7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sold certain types of EV chargers to Zhichong New Energy in the amount of US$0.4 million, US$1.7 million and US$0.7 million for the years ended December 31, 2023, 2024 and 2025, respectively. The outstanding balance of accounts receivable from Zhichong New Energy were US$1.9 million and US$2.7 million as of December 31, 2024 and 2025, respectively, which were included in amounts due from related parties, net on the consolidated balance sheets.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Group provided a loan in the amount of RMB0.7 million (equivalent to US$0.1 million) to Zhichong New Energy with a simple interest rate of 6% per annum. The principal and accrued interest in the amount of RMB0.7 million (equivalent to US$0.1 million) shall be due within a year. In January 2024 and July 2024, total RMB0.2 million (equivalent to US$25 thousand) was repaid.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Group provided interest-free advances in the amount RMB0.2 million (equivalent to US$27 thousand) to other two executive officers for their personal use. The advances to the two executive officers were fully collected in September 2023.</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Group provided interest-free advance in the amount of RMB2.9 million (equivalent to US$0.4 million) to Mr. Hou Yifei for his personal use. As of December 31, 2024, all of the balance was collected.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right="8060" w:hanging="512"/>
        <w:spacing w:after="0" w:line="450" w:lineRule="auto"/>
        <w:tabs>
          <w:tab w:leader="none" w:pos="52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INFORMATION </w:t>
      </w:r>
      <w:r>
        <w:rPr>
          <w:rFonts w:ascii="Times New Roman" w:cs="Times New Roman" w:eastAsia="Times New Roman" w:hAnsi="Times New Roman"/>
          <w:sz w:val="17"/>
          <w:szCs w:val="17"/>
          <w:color w:val="auto"/>
        </w:rPr>
        <w:t>Revenues consisted of the following:</w:t>
      </w: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36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300" w:type="dxa"/>
            <w:vAlign w:val="bottom"/>
          </w:tcPr>
          <w:p>
            <w:pPr>
              <w:spacing w:after="0"/>
              <w:rPr>
                <w:sz w:val="12"/>
                <w:szCs w:val="12"/>
                <w:color w:val="auto"/>
              </w:rPr>
            </w:pPr>
          </w:p>
        </w:tc>
        <w:tc>
          <w:tcPr>
            <w:tcW w:w="10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top w:val="single" w:sz="8" w:color="auto"/>
            </w:tcBorders>
            <w:gridSpan w:val="2"/>
          </w:tcPr>
          <w:p>
            <w:pPr>
              <w:jc w:val="center"/>
              <w:ind w:lef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Borders>
              <w:top w:val="single" w:sz="8" w:color="auto"/>
            </w:tcBorders>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1080" w:type="dxa"/>
            <w:vAlign w:val="bottom"/>
            <w:tcBorders>
              <w:top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38,052,093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41,506,620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24,025,873</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459,559</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697,040</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1,074,519</w:t>
            </w:r>
          </w:p>
        </w:tc>
        <w:tc>
          <w:tcPr>
            <w:tcW w:w="80" w:type="dxa"/>
            <w:vAlign w:val="bottom"/>
          </w:tcPr>
          <w:p>
            <w:pPr>
              <w:spacing w:after="0"/>
              <w:rPr>
                <w:sz w:val="18"/>
                <w:szCs w:val="18"/>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38,511,652</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42,203,660</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25,100,392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514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the Group’s revenues from the following geographic areas (based on the locations of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50" w:name="page151"/>
    <w:bookmarkEnd w:id="150"/>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6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80" w:type="dxa"/>
            <w:vAlign w:val="bottom"/>
            <w:tcBorders>
              <w:top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top w:val="single" w:sz="8" w:color="auto"/>
            </w:tcBorders>
            <w:gridSpan w:val="2"/>
          </w:tcPr>
          <w:p>
            <w:pPr>
              <w:jc w:val="center"/>
              <w:ind w:lef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Borders>
              <w:top w:val="single" w:sz="8" w:color="auto"/>
            </w:tcBorders>
            <w:gridSpan w:val="2"/>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80" w:type="dxa"/>
            <w:vAlign w:val="bottom"/>
            <w:tcBorders>
              <w:top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30,211,836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19,411,490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12,500,580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4,750,919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6,067,038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3,693,378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3,548,897</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16,725,132</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8,906,434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38,511,652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42,203,660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25,100,392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14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*Others for the year ended December 31, 2024, primarily consisted of revenue of US$5,869,229 from customer in North America, US$8,736,141 from customer in South America, and US$2,119,762 from customers in various other unspecified countries. Others for the year ended December 31, 2025, primarily consisted of revenue of US$6,653,386 from customer in North America, US$1,757,641 from customer in South America, and US$495,407 from customers in various other unspecified countries.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Group has elected the practical expedient in ASC 606-10-50-14(a) not to disclose the information about remaining performance obligations which are part of contracts that have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Group had neither significant financial nor capital commitment.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Group was a party to an arbitration proceeding as detailed described in Notes 8 and 9. In connection with this matter, as of December 31, 2025, the Group had recognized a provision of RMB17.6 million (approximately US$2.5 million) for outstanding principal, accrued interest, and default interest accrued up to the balance sheet date, and had restricted cash of RMB16.9 million (approximately US$2.4 million) due to asset preservation measures on certain bank accounts. The Group concludes that the ultimate outcome of this arbitration could not have a material adverse effect on the Group's results of operations, consolidated financial condition, or cash flows.</w:t>
      </w:r>
    </w:p>
    <w:p>
      <w:pPr>
        <w:spacing w:after="0" w:line="287"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On January 30, 2026, the Company entered into a sales agreement with A.G.P./Alliance Global Partners (the “Sales Agent”) to offer and sell from time to time its American depositary shares (“ADSs”), each representing 40 Class A ordinary shares, in an “at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offering” with an aggregate offering amount of up to US$12,800,000 (the “ATM Program”). As of March 31, 2026, the Company had sold a nominal amount of ADSs under the ATM Program for gross proceeds of approximately $25,000.</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 2026, the Company issued 8,500,000 ADSs (representing 340,000,000 Class A ordinary shares) to the depositary as a reserve in relation to the ATM Program. No consideration was received by the Company for this issuance of ordinary shares. These ordinary shares are legally issued but are treated as escrowed shares for accounting purpose, and therefore, have been excluded from the computation of net loss per ordinary share for accounting purposes.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Effective as of March 9, 2026, the Company terminated the 2023 Plan, the 2023 Plan II and the 2025 Plan, and ceased making awards thereunder. All awards previously granted under the 2023 Plan, the 2023 Plan II and the 2025 Plan remain outstanding and continue to be governed by its terms and applicable award agreements.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March 9, 2026, the Company adopted the 2026 Share Incentive Plan (the “2026 Plan”). Pursuant to the 2026 Plan, restricted shares units were granted to its directors, certain employees and non-employee consultants of the Group as approved by the </w:t>
      </w:r>
      <w:r>
        <w:rPr>
          <w:rFonts w:ascii="Times New Roman" w:cs="Times New Roman" w:eastAsia="Times New Roman" w:hAnsi="Times New Roman"/>
          <w:sz w:val="18"/>
          <w:szCs w:val="18"/>
          <w:color w:val="231F20"/>
        </w:rPr>
        <w:t>administrator appointed by the</w:t>
      </w:r>
      <w:r>
        <w:rPr>
          <w:rFonts w:ascii="Times New Roman" w:cs="Times New Roman" w:eastAsia="Times New Roman" w:hAnsi="Times New Roman"/>
          <w:sz w:val="18"/>
          <w:szCs w:val="18"/>
          <w:color w:val="auto"/>
        </w:rPr>
        <w:t xml:space="preserve"> board of directors. Shares granted under the 2026 Plan are generally subject to only service condition but with multiple vesting schedules. As of March 31, 2026, 1,600,000 of such share awards have been granted.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51" w:name="page152"/>
    <w:bookmarkEnd w:id="151"/>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CONDENSED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condensed parent company financial information of XCHG Limited has been prepared using the same accounting policies as set out in the accompanying consolidated financial statements. As of December 31, 2024 and 2025, there were no material contingencies, significant provisions of long-term obligations, mandatory dividend or redemption requirements of redeemable convertible preference shares or guarantees of XCHG Limited, except for those which have been separately disclosed in the consolidated financial statements.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tc>
        <w:tc>
          <w:tcPr>
            <w:tcW w:w="3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80"/>
        </w:trPr>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40" w:type="dxa"/>
            <w:vAlign w:val="bottom"/>
          </w:tcPr>
          <w:p>
            <w:pPr>
              <w:spacing w:after="0"/>
              <w:rPr>
                <w:sz w:val="12"/>
                <w:szCs w:val="12"/>
                <w:color w:val="auto"/>
              </w:rPr>
            </w:pPr>
          </w:p>
        </w:tc>
        <w:tc>
          <w:tcPr>
            <w:tcW w:w="1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94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8,300,344</w:t>
            </w: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5,449,211</w:t>
            </w: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subsidiaries-current</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8,162,028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7,534,102</w:t>
            </w:r>
          </w:p>
        </w:tc>
        <w:tc>
          <w:tcPr>
            <w:tcW w:w="120" w:type="dxa"/>
            <w:vAlign w:val="bottom"/>
          </w:tcPr>
          <w:p>
            <w:pPr>
              <w:spacing w:after="0"/>
              <w:rPr>
                <w:sz w:val="18"/>
                <w:szCs w:val="18"/>
                <w:color w:val="auto"/>
              </w:rPr>
            </w:pPr>
          </w:p>
        </w:tc>
      </w:tr>
      <w:tr>
        <w:trPr>
          <w:trHeight w:val="216"/>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2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4,463,506</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1,841,298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20,925,878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14,824,611</w:t>
            </w:r>
          </w:p>
        </w:tc>
        <w:tc>
          <w:tcPr>
            <w:tcW w:w="120" w:type="dxa"/>
            <w:vAlign w:val="bottom"/>
          </w:tcPr>
          <w:p>
            <w:pPr>
              <w:spacing w:after="0"/>
              <w:rPr>
                <w:sz w:val="18"/>
                <w:szCs w:val="18"/>
                <w:color w:val="auto"/>
              </w:rPr>
            </w:pPr>
          </w:p>
        </w:tc>
      </w:tr>
      <w:tr>
        <w:trPr>
          <w:trHeight w:val="210"/>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2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subsidiaries-non-current</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38,465,944</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40,259,564</w:t>
            </w:r>
          </w:p>
        </w:tc>
        <w:tc>
          <w:tcPr>
            <w:tcW w:w="120" w:type="dxa"/>
            <w:vAlign w:val="bottom"/>
          </w:tcPr>
          <w:p>
            <w:pPr>
              <w:spacing w:after="0"/>
              <w:rPr>
                <w:sz w:val="18"/>
                <w:szCs w:val="18"/>
                <w:color w:val="auto"/>
              </w:rPr>
            </w:pPr>
          </w:p>
        </w:tc>
      </w:tr>
      <w:tr>
        <w:trPr>
          <w:trHeight w:val="216"/>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38,465,944</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41,357,544</w:t>
            </w:r>
          </w:p>
        </w:tc>
        <w:tc>
          <w:tcPr>
            <w:tcW w:w="120" w:type="dxa"/>
            <w:vAlign w:val="bottom"/>
          </w:tcPr>
          <w:p>
            <w:pPr>
              <w:spacing w:after="0"/>
              <w:rPr>
                <w:sz w:val="18"/>
                <w:szCs w:val="18"/>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59,391,822</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56,182,155</w:t>
            </w:r>
          </w:p>
        </w:tc>
        <w:tc>
          <w:tcPr>
            <w:tcW w:w="120" w:type="dxa"/>
            <w:vAlign w:val="bottom"/>
            <w:shd w:val="clear" w:color="auto" w:fill="CFF0FC"/>
          </w:tcPr>
          <w:p>
            <w:pPr>
              <w:spacing w:after="0"/>
              <w:rPr>
                <w:sz w:val="21"/>
                <w:szCs w:val="21"/>
                <w:color w:val="auto"/>
              </w:rPr>
            </w:pPr>
          </w:p>
        </w:tc>
      </w:tr>
      <w:tr>
        <w:trPr>
          <w:trHeight w:val="197"/>
        </w:trPr>
        <w:tc>
          <w:tcPr>
            <w:tcW w:w="43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80" w:type="dxa"/>
            <w:vAlign w:val="bottom"/>
            <w:tcBorders>
              <w:top w:val="single" w:sz="8" w:color="CFF0F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liabilities in subsidiaries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18,194,078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27,501,236</w:t>
            </w:r>
          </w:p>
        </w:tc>
        <w:tc>
          <w:tcPr>
            <w:tcW w:w="120" w:type="dxa"/>
            <w:vAlign w:val="bottom"/>
          </w:tcPr>
          <w:p>
            <w:pPr>
              <w:spacing w:after="0"/>
              <w:rPr>
                <w:sz w:val="18"/>
                <w:szCs w:val="18"/>
                <w:color w:val="auto"/>
              </w:rPr>
            </w:pPr>
          </w:p>
        </w:tc>
      </w:tr>
      <w:tr>
        <w:trPr>
          <w:trHeight w:val="216"/>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to a subsidiary</w:t>
            </w: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9,871,978</w:t>
            </w: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9,926,198</w:t>
            </w: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1,816,882</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888,366</w:t>
            </w:r>
          </w:p>
        </w:tc>
        <w:tc>
          <w:tcPr>
            <w:tcW w:w="120" w:type="dxa"/>
            <w:vAlign w:val="bottom"/>
          </w:tcPr>
          <w:p>
            <w:pPr>
              <w:spacing w:after="0"/>
              <w:rPr>
                <w:sz w:val="18"/>
                <w:szCs w:val="18"/>
                <w:color w:val="auto"/>
              </w:rPr>
            </w:pPr>
          </w:p>
        </w:tc>
      </w:tr>
      <w:tr>
        <w:trPr>
          <w:trHeight w:val="250"/>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29,882,938</w:t>
            </w:r>
          </w:p>
        </w:tc>
        <w:tc>
          <w:tcPr>
            <w:tcW w:w="2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38,315,800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4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4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29,882,938</w:t>
            </w:r>
          </w:p>
        </w:tc>
        <w:tc>
          <w:tcPr>
            <w:tcW w:w="24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38,315,800</w:t>
            </w:r>
          </w:p>
        </w:tc>
        <w:tc>
          <w:tcPr>
            <w:tcW w:w="1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3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20" w:type="dxa"/>
            <w:vAlign w:val="bottom"/>
          </w:tcPr>
          <w:p>
            <w:pPr>
              <w:spacing w:after="0"/>
              <w:rPr>
                <w:sz w:val="18"/>
                <w:szCs w:val="18"/>
                <w:color w:val="auto"/>
              </w:rPr>
            </w:pPr>
          </w:p>
        </w:tc>
      </w:tr>
      <w:tr>
        <w:trPr>
          <w:trHeight w:val="216"/>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79,883,038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100,820,027</w:t>
            </w:r>
          </w:p>
        </w:tc>
        <w:tc>
          <w:tcPr>
            <w:tcW w:w="120" w:type="dxa"/>
            <w:vAlign w:val="bottom"/>
          </w:tcPr>
          <w:p>
            <w:pPr>
              <w:spacing w:after="0"/>
              <w:rPr>
                <w:sz w:val="18"/>
                <w:szCs w:val="18"/>
                <w:color w:val="auto"/>
              </w:rPr>
            </w:pPr>
          </w:p>
        </w:tc>
      </w:tr>
      <w:tr>
        <w:trPr>
          <w:trHeight w:val="216"/>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1,975,487</w:t>
            </w: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1,893,379</w:t>
            </w:r>
          </w:p>
        </w:tc>
        <w:tc>
          <w:tcPr>
            <w:tcW w:w="12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8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(52,373,422)</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(84,876,067)</w:t>
            </w:r>
          </w:p>
        </w:tc>
      </w:tr>
      <w:tr>
        <w:trPr>
          <w:trHeight w:val="209"/>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29,508,884</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17,866,355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59,391,822</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56,182,155</w:t>
            </w:r>
          </w:p>
        </w:tc>
        <w:tc>
          <w:tcPr>
            <w:tcW w:w="12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120" w:type="dxa"/>
            <w:vAlign w:val="bottom"/>
            <w:gridSpan w:val="3"/>
          </w:tcPr>
          <w:p>
            <w:pPr>
              <w:jc w:val="right"/>
              <w:ind w:right="3700"/>
              <w:spacing w:after="0"/>
              <w:rPr>
                <w:sz w:val="20"/>
                <w:szCs w:val="20"/>
                <w:color w:val="auto"/>
              </w:rPr>
            </w:pPr>
            <w:r>
              <w:rPr>
                <w:rFonts w:ascii="Times New Roman" w:cs="Times New Roman" w:eastAsia="Times New Roman" w:hAnsi="Times New Roman"/>
                <w:sz w:val="18"/>
                <w:szCs w:val="18"/>
                <w:color w:val="auto"/>
              </w:rPr>
              <w:t>F-45</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-3950970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-3950970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-3385185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-3385185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-3093720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-3076575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-3076575</wp:posOffset>
            </wp:positionV>
            <wp:extent cx="774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-2236470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-2219325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-2236470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-2219325</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w:t>
            </w: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Comprehensive Loss</w:t>
            </w: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gridSpan w:val="5"/>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5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Borders>
              <w:top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(7,419,798)</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(7,972,320)</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(23,378,821)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(30,510)</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(8,998)</w:t>
            </w: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profits (losses) in subsidiaries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829,431</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(3,979,050)</w:t>
            </w: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(9,225,050)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convertible debts</w:t>
            </w:r>
          </w:p>
        </w:tc>
        <w:tc>
          <w:tcPr>
            <w:tcW w:w="2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(1,463,159)</w:t>
            </w:r>
          </w:p>
        </w:tc>
        <w:tc>
          <w:tcPr>
            <w:tcW w:w="192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shares to redemption value</w:t>
            </w:r>
          </w:p>
        </w:tc>
        <w:tc>
          <w:tcPr>
            <w:tcW w:w="1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(2,377,429)</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(1,162,826)</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XCHG Limited</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(10,461,069)</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(13,103,362)</w:t>
            </w: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(8,083,640)</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(11,940,536)</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(32,502,645)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1,043,513</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(82,108)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(7,040,127)</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(11,789,414)</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(32,584,753)</w:t>
            </w:r>
          </w:p>
        </w:tc>
        <w:tc>
          <w:tcPr>
            <w:tcW w:w="0" w:type="dxa"/>
            <w:vAlign w:val="bottom"/>
          </w:tcPr>
          <w:p>
            <w:pPr>
              <w:spacing w:after="0"/>
              <w:rPr>
                <w:sz w:val="1"/>
                <w:szCs w:val="1"/>
                <w:color w:val="auto"/>
              </w:rPr>
            </w:pPr>
          </w:p>
        </w:tc>
      </w:tr>
      <w:tr>
        <w:trPr>
          <w:trHeight w:val="413"/>
        </w:trPr>
        <w:tc>
          <w:tcPr>
            <w:tcW w:w="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50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tc>
        <w:tc>
          <w:tcPr>
            <w:tcW w:w="120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gridSpan w:val="5"/>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5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Borders>
              <w:top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(77,908)</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(11,697,046)</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(2,339,902)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(33,370,232)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(952,452)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34,749,595</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18,330,800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1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1,301,490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6,998,854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(2,851,133)</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1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1,301,490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year</w:t>
            </w:r>
          </w:p>
        </w:tc>
        <w:tc>
          <w:tcPr>
            <w:tcW w:w="1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1,301,490</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8,300,344</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5,449,211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780" w:type="dxa"/>
            <w:vAlign w:val="bottom"/>
            <w:gridSpan w:val="3"/>
          </w:tcPr>
          <w:p>
            <w:pPr>
              <w:jc w:val="right"/>
              <w:ind w:right="2360"/>
              <w:spacing w:after="0"/>
              <w:rPr>
                <w:sz w:val="20"/>
                <w:szCs w:val="20"/>
                <w:color w:val="auto"/>
              </w:rPr>
            </w:pPr>
            <w:r>
              <w:rPr>
                <w:rFonts w:ascii="Times New Roman" w:cs="Times New Roman" w:eastAsia="Times New Roman" w:hAnsi="Times New Roman"/>
                <w:sz w:val="18"/>
                <w:szCs w:val="18"/>
                <w:color w:val="auto"/>
              </w:rPr>
              <w:t>F-46</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-2639695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-2622550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-2639695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-2622550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-2639695</wp:posOffset>
            </wp:positionV>
            <wp:extent cx="774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-916305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12.1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Yifei Hou, certify that:</w:t>
      </w:r>
    </w:p>
    <w:p>
      <w:pPr>
        <w:spacing w:after="0" w:line="216" w:lineRule="exact"/>
        <w:rPr>
          <w:sz w:val="20"/>
          <w:szCs w:val="20"/>
          <w:color w:val="auto"/>
        </w:rPr>
      </w:pPr>
    </w:p>
    <w:p>
      <w:pPr>
        <w:ind w:left="1160" w:hanging="403"/>
        <w:spacing w:after="0"/>
        <w:tabs>
          <w:tab w:leader="none" w:pos="11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XCHG Limited (the “Company”);</w:t>
      </w:r>
    </w:p>
    <w:p>
      <w:pPr>
        <w:spacing w:after="0" w:line="215"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right="220" w:firstLine="757"/>
        <w:spacing w:after="0" w:line="254" w:lineRule="auto"/>
        <w:tabs>
          <w:tab w:leader="none" w:pos="11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4" w:lineRule="exact"/>
        <w:rPr>
          <w:sz w:val="20"/>
          <w:szCs w:val="20"/>
          <w:color w:val="auto"/>
        </w:rPr>
      </w:pPr>
    </w:p>
    <w:p>
      <w:pPr>
        <w:ind w:right="80" w:firstLine="757"/>
        <w:spacing w:after="0" w:line="254"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ind w:right="100" w:firstLine="757"/>
        <w:spacing w:after="0" w:line="254"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ind w:right="80" w:firstLine="757"/>
        <w:spacing w:after="0" w:line="254"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right="160" w:firstLine="757"/>
        <w:spacing w:after="0" w:line="254"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480" w:firstLine="757"/>
        <w:spacing w:after="0" w:line="269" w:lineRule="auto"/>
        <w:tabs>
          <w:tab w:leader="none" w:pos="114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CEO’s Section 302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ind w:right="340" w:firstLine="757"/>
        <w:spacing w:after="0" w:line="295" w:lineRule="auto"/>
        <w:tabs>
          <w:tab w:leader="none" w:pos="1145"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Times New Roman" w:cs="Times New Roman" w:eastAsia="Times New Roman" w:hAnsi="Times New Roman"/>
          <w:sz w:val="19"/>
          <w:szCs w:val="19"/>
          <w:color w:val="auto"/>
        </w:rPr>
      </w:pPr>
    </w:p>
    <w:p>
      <w:pPr>
        <w:ind w:right="900" w:firstLine="757"/>
        <w:spacing w:after="0" w:line="269" w:lineRule="auto"/>
        <w:tabs>
          <w:tab w:leader="none" w:pos="114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27,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 Yifei Hou</w:t>
            </w:r>
          </w:p>
        </w:tc>
        <w:tc>
          <w:tcPr>
            <w:tcW w:w="8440" w:type="dxa"/>
            <w:vAlign w:val="bottom"/>
          </w:tcPr>
          <w:p>
            <w:pPr>
              <w:spacing w:after="0"/>
              <w:rPr>
                <w:sz w:val="22"/>
                <w:szCs w:val="22"/>
                <w:color w:val="auto"/>
              </w:rPr>
            </w:pPr>
          </w:p>
        </w:tc>
      </w:tr>
      <w:tr>
        <w:trPr>
          <w:trHeight w:val="210"/>
        </w:trPr>
        <w:tc>
          <w:tcPr>
            <w:tcW w:w="14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440" w:type="dxa"/>
            <w:vAlign w:val="bottom"/>
            <w:tcBorders>
              <w:bottom w:val="single" w:sz="8" w:color="auto"/>
            </w:tcBorders>
          </w:tcPr>
          <w:p>
            <w:pPr>
              <w:spacing w:after="0"/>
              <w:rPr>
                <w:sz w:val="18"/>
                <w:szCs w:val="18"/>
                <w:color w:val="auto"/>
              </w:rPr>
            </w:pPr>
          </w:p>
        </w:tc>
      </w:tr>
      <w:tr>
        <w:trPr>
          <w:trHeight w:val="252"/>
        </w:trPr>
        <w:tc>
          <w:tcPr>
            <w:tcW w:w="142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4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Yifei Hou</w:t>
            </w:r>
          </w:p>
        </w:tc>
      </w:tr>
      <w:tr>
        <w:trPr>
          <w:trHeight w:val="423"/>
        </w:trPr>
        <w:tc>
          <w:tcPr>
            <w:tcW w:w="1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4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Financial Officer</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Joel Adalberto Gallo, certify that:</w:t>
      </w:r>
    </w:p>
    <w:p>
      <w:pPr>
        <w:spacing w:after="0" w:line="216" w:lineRule="exact"/>
        <w:rPr>
          <w:sz w:val="20"/>
          <w:szCs w:val="20"/>
          <w:color w:val="auto"/>
        </w:rPr>
      </w:pPr>
    </w:p>
    <w:p>
      <w:pPr>
        <w:ind w:left="1160" w:hanging="403"/>
        <w:spacing w:after="0"/>
        <w:tabs>
          <w:tab w:leader="none" w:pos="11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XCHG Limited (the “Company”);</w:t>
      </w:r>
    </w:p>
    <w:p>
      <w:pPr>
        <w:spacing w:after="0" w:line="215"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right="220" w:firstLine="757"/>
        <w:spacing w:after="0" w:line="254" w:lineRule="auto"/>
        <w:tabs>
          <w:tab w:leader="none" w:pos="114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4" w:lineRule="exact"/>
        <w:rPr>
          <w:sz w:val="20"/>
          <w:szCs w:val="20"/>
          <w:color w:val="auto"/>
        </w:rPr>
      </w:pPr>
    </w:p>
    <w:p>
      <w:pPr>
        <w:ind w:right="80" w:firstLine="757"/>
        <w:spacing w:after="0" w:line="25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ind w:right="100" w:firstLine="757"/>
        <w:spacing w:after="0" w:line="25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ind w:right="80" w:firstLine="757"/>
        <w:spacing w:after="0" w:line="25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right="160" w:firstLine="757"/>
        <w:spacing w:after="0" w:line="25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480" w:firstLine="757"/>
        <w:spacing w:after="0" w:line="269" w:lineRule="auto"/>
        <w:tabs>
          <w:tab w:leader="none" w:pos="11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CFO’s Section 302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6" w:name="page157"/>
    <w:bookmarkEnd w:id="156"/>
    <w:p>
      <w:pPr>
        <w:ind w:right="340" w:firstLine="757"/>
        <w:spacing w:after="0" w:line="295" w:lineRule="auto"/>
        <w:tabs>
          <w:tab w:leader="none" w:pos="1145"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Times New Roman" w:cs="Times New Roman" w:eastAsia="Times New Roman" w:hAnsi="Times New Roman"/>
          <w:sz w:val="19"/>
          <w:szCs w:val="19"/>
          <w:color w:val="auto"/>
        </w:rPr>
      </w:pPr>
    </w:p>
    <w:p>
      <w:pPr>
        <w:ind w:right="900" w:firstLine="757"/>
        <w:spacing w:after="0" w:line="269"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27,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Joel Adalberto Gallo</w:t>
            </w:r>
          </w:p>
        </w:tc>
      </w:tr>
      <w:tr>
        <w:trPr>
          <w:trHeight w:val="210"/>
        </w:trPr>
        <w:tc>
          <w:tcPr>
            <w:tcW w:w="1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860" w:type="dxa"/>
            <w:vAlign w:val="bottom"/>
            <w:tcBorders>
              <w:bottom w:val="single" w:sz="8" w:color="auto"/>
            </w:tcBorders>
          </w:tcPr>
          <w:p>
            <w:pPr>
              <w:spacing w:after="0"/>
              <w:rPr>
                <w:sz w:val="18"/>
                <w:szCs w:val="18"/>
                <w:color w:val="auto"/>
              </w:rPr>
            </w:pPr>
          </w:p>
        </w:tc>
      </w:tr>
      <w:tr>
        <w:trPr>
          <w:trHeight w:val="252"/>
        </w:trPr>
        <w:tc>
          <w:tcPr>
            <w:tcW w:w="140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8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Joel Adalberto Gallo</w:t>
            </w:r>
          </w:p>
        </w:tc>
      </w:tr>
      <w:tr>
        <w:trPr>
          <w:trHeight w:val="423"/>
        </w:trPr>
        <w:tc>
          <w:tcPr>
            <w:tcW w:w="14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8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20" w:lineRule="exact"/>
        <w:rPr>
          <w:sz w:val="20"/>
          <w:szCs w:val="20"/>
          <w:color w:val="auto"/>
        </w:rPr>
      </w:pPr>
    </w:p>
    <w:p>
      <w:pPr>
        <w:jc w:val="both"/>
        <w:ind w:right="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of XCHG Limited (the “Company”) on Form 20-F for the year ended December 31, 2025 as filed with the Securities and Exchange Commission on the date hereof (the “Report”), I, Yifei Hou, Chief Executive Officer of the Company, certify, pursuant to 18 U.S.C. Section 1350, as adopted pursuant to Section 906 of the Sarbanes-Oxley Act of 2002, that to my knowledge:</w:t>
      </w:r>
    </w:p>
    <w:p>
      <w:pPr>
        <w:spacing w:after="0" w:line="156" w:lineRule="exact"/>
        <w:rPr>
          <w:sz w:val="20"/>
          <w:szCs w:val="20"/>
          <w:color w:val="auto"/>
        </w:rPr>
      </w:pPr>
    </w:p>
    <w:p>
      <w:pPr>
        <w:ind w:left="1160" w:hanging="403"/>
        <w:spacing w:after="0"/>
        <w:tabs>
          <w:tab w:leader="none" w:pos="11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right="840" w:firstLine="757"/>
        <w:spacing w:after="0" w:line="269" w:lineRule="auto"/>
        <w:tabs>
          <w:tab w:leader="none" w:pos="114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27,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/s/ Yifei Hou</w:t>
            </w:r>
          </w:p>
        </w:tc>
        <w:tc>
          <w:tcPr>
            <w:tcW w:w="8440" w:type="dxa"/>
            <w:vAlign w:val="bottom"/>
          </w:tcPr>
          <w:p>
            <w:pPr>
              <w:spacing w:after="0"/>
              <w:rPr>
                <w:sz w:val="23"/>
                <w:szCs w:val="23"/>
                <w:color w:val="auto"/>
              </w:rPr>
            </w:pPr>
          </w:p>
        </w:tc>
      </w:tr>
      <w:tr>
        <w:trPr>
          <w:trHeight w:val="197"/>
        </w:trPr>
        <w:tc>
          <w:tcPr>
            <w:tcW w:w="14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440" w:type="dxa"/>
            <w:vAlign w:val="bottom"/>
            <w:tcBorders>
              <w:bottom w:val="single" w:sz="8" w:color="auto"/>
            </w:tcBorders>
          </w:tcPr>
          <w:p>
            <w:pPr>
              <w:spacing w:after="0"/>
              <w:rPr>
                <w:sz w:val="17"/>
                <w:szCs w:val="17"/>
                <w:color w:val="auto"/>
              </w:rPr>
            </w:pPr>
          </w:p>
        </w:tc>
      </w:tr>
      <w:tr>
        <w:trPr>
          <w:trHeight w:val="252"/>
        </w:trPr>
        <w:tc>
          <w:tcPr>
            <w:tcW w:w="142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Yifei Hou</w:t>
            </w:r>
          </w:p>
        </w:tc>
      </w:tr>
      <w:tr>
        <w:trPr>
          <w:trHeight w:val="423"/>
        </w:trPr>
        <w:tc>
          <w:tcPr>
            <w:tcW w:w="1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CEO’s 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Financial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20"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XCHG Limited (the “Company”) on Form 20-F for the year ended December 31, 2025 as filed with the Securities and Exchange Commission on the date hereof (the “Report”), I, Joel Adalberto Gallo,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160" w:hanging="403"/>
        <w:spacing w:after="0"/>
        <w:tabs>
          <w:tab w:leader="none" w:pos="11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right="840" w:firstLine="757"/>
        <w:spacing w:after="0" w:line="269"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27,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Joel Adalberto Gallo</w:t>
            </w:r>
          </w:p>
        </w:tc>
      </w:tr>
      <w:tr>
        <w:trPr>
          <w:trHeight w:val="210"/>
        </w:trPr>
        <w:tc>
          <w:tcPr>
            <w:tcW w:w="1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spacing w:after="0"/>
              <w:rPr>
                <w:sz w:val="18"/>
                <w:szCs w:val="18"/>
                <w:color w:val="auto"/>
              </w:rPr>
            </w:pPr>
          </w:p>
        </w:tc>
      </w:tr>
      <w:tr>
        <w:trPr>
          <w:trHeight w:val="252"/>
        </w:trPr>
        <w:tc>
          <w:tcPr>
            <w:tcW w:w="138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Joel Adalberto Gallo</w:t>
            </w:r>
          </w:p>
        </w:tc>
      </w:tr>
      <w:tr>
        <w:trPr>
          <w:trHeight w:val="423"/>
        </w:trPr>
        <w:tc>
          <w:tcPr>
            <w:tcW w:w="13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CFO’s 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[Fangda Partners Letterhead]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XCharge Europe GmbH, Heselstücken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22453 Hamburg, Germany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XCharge Energy USA Inc, 19121 Marketplace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2-Suite 2-145, Kyle, TX 78640, United States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references to our firm under “Item 3. Key Information—Securities Offering—Cybersecurity Review” “Item 3. Key Information—3.D. Risk Factors—Risks Relating to Our Business— We may become subject to cybersecurity review by the CAC in the future.” “Item 3. Key Information— 10.E. Taxation” in the Annual Report on Form 20-F of XCHG Limited for the fiscal year ended December 31, 2025 (the “Annual Report”), which is filed with the Securities and Exchange Commission (the “SEC”) on the date hereof. We also consent to the filing with the SEC of this consent letter as an exhibit to the Annual Report.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Fangda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19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15.2</w:t>
      </w:r>
    </w:p>
    <w:p>
      <w:pPr>
        <w:spacing w:after="0" w:line="200" w:lineRule="exact"/>
        <w:rPr>
          <w:sz w:val="20"/>
          <w:szCs w:val="20"/>
          <w:color w:val="auto"/>
        </w:rPr>
      </w:pPr>
    </w:p>
    <w:p>
      <w:pPr>
        <w:spacing w:after="0" w:line="230"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[Maples and Calder (Hong Kong) LLP Letterhead]</w:t>
      </w: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Our ref</w:t>
      </w:r>
      <w:r>
        <w:rPr>
          <w:sz w:val="20"/>
          <w:szCs w:val="20"/>
          <w:color w:val="auto"/>
        </w:rPr>
        <w:tab/>
      </w:r>
      <w:r>
        <w:rPr>
          <w:rFonts w:ascii="Arial" w:cs="Arial" w:eastAsia="Arial" w:hAnsi="Arial"/>
          <w:sz w:val="18"/>
          <w:szCs w:val="18"/>
          <w:color w:val="auto"/>
        </w:rPr>
        <w:t>JVZ/816789-000001/32113602v1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XCHG Limited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XCharge Europe GmbH, Heselstücken 18,</w:t>
      </w:r>
    </w:p>
    <w:p>
      <w:pPr>
        <w:spacing w:after="0"/>
        <w:rPr>
          <w:sz w:val="20"/>
          <w:szCs w:val="20"/>
          <w:color w:val="auto"/>
        </w:rPr>
      </w:pPr>
      <w:r>
        <w:rPr>
          <w:rFonts w:ascii="Arial" w:cs="Arial" w:eastAsia="Arial" w:hAnsi="Arial"/>
          <w:sz w:val="19"/>
          <w:szCs w:val="19"/>
          <w:color w:val="auto"/>
        </w:rPr>
        <w:t>22453 Hamburg, Germany</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XCharge Energy USA Inc, 19121 Marketplace Avenue,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Building 2-Suite 2-145, Kyle, TX 78640, United States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April 27, 2026</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Dear Sir or Madam</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XCHG Limited</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have acted as legal advisers as to the laws of the Cayman Islands to XCHG Limited, an exempted limited liability company incorporated in the Cayman Islands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filing by the Company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of an annual report on Form 20-F for the year ended 31 December 2025 (the “</w:t>
      </w:r>
      <w:r>
        <w:rPr>
          <w:rFonts w:ascii="Arial" w:cs="Arial" w:eastAsia="Arial" w:hAnsi="Arial"/>
          <w:sz w:val="19"/>
          <w:szCs w:val="19"/>
          <w:b w:val="1"/>
          <w:bCs w:val="1"/>
          <w:color w:val="auto"/>
        </w:rPr>
        <w:t>Annual</w:t>
      </w:r>
      <w:r>
        <w:rPr>
          <w:rFonts w:ascii="Arial" w:cs="Arial" w:eastAsia="Arial" w:hAnsi="Arial"/>
          <w:sz w:val="19"/>
          <w:szCs w:val="19"/>
          <w:color w:val="auto"/>
        </w:rPr>
        <w:t xml:space="preserve"> </w:t>
      </w:r>
      <w:r>
        <w:rPr>
          <w:rFonts w:ascii="Arial" w:cs="Arial" w:eastAsia="Arial" w:hAnsi="Arial"/>
          <w:sz w:val="19"/>
          <w:szCs w:val="19"/>
          <w:b w:val="1"/>
          <w:bCs w:val="1"/>
          <w:color w:val="auto"/>
        </w:rPr>
        <w:t>Report</w:t>
      </w:r>
      <w:r>
        <w:rPr>
          <w:rFonts w:ascii="Arial" w:cs="Arial" w:eastAsia="Arial" w:hAnsi="Arial"/>
          <w:sz w:val="19"/>
          <w:szCs w:val="19"/>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reference to our firm under the heading “Item 10. Additional Information—E. Taxation” in the Annual Report.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1569085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[GÖRG Partnerschaft von Rechtsanwälten mbB Letterhead]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00" w:type="dxa"/>
            <w:vAlign w:val="bottom"/>
          </w:tcPr>
          <w:p>
            <w:pPr>
              <w:spacing w:after="0"/>
              <w:rPr>
                <w:sz w:val="20"/>
                <w:szCs w:val="20"/>
                <w:color w:val="auto"/>
              </w:rPr>
            </w:pPr>
            <w:r>
              <w:rPr>
                <w:rFonts w:ascii="Arial" w:cs="Arial" w:eastAsia="Arial" w:hAnsi="Arial"/>
                <w:sz w:val="14"/>
                <w:szCs w:val="14"/>
                <w:color w:val="auto"/>
              </w:rPr>
              <w:t xml:space="preserve">GÖRG </w:t>
            </w:r>
            <w:r>
              <w:rPr>
                <w:rFonts w:ascii="Times New Roman" w:cs="Times New Roman" w:eastAsia="Times New Roman" w:hAnsi="Times New Roman"/>
                <w:sz w:val="5"/>
                <w:szCs w:val="5"/>
                <w:color w:val="auto"/>
              </w:rPr>
              <w:t>·</w:t>
            </w:r>
            <w:r>
              <w:rPr>
                <w:rFonts w:ascii="Arial" w:cs="Arial" w:eastAsia="Arial" w:hAnsi="Arial"/>
                <w:sz w:val="14"/>
                <w:szCs w:val="14"/>
                <w:color w:val="auto"/>
              </w:rPr>
              <w:t xml:space="preserve">  Ulmenstraße 30 </w:t>
            </w:r>
            <w:r>
              <w:rPr>
                <w:rFonts w:ascii="Times New Roman" w:cs="Times New Roman" w:eastAsia="Times New Roman" w:hAnsi="Times New Roman"/>
                <w:sz w:val="5"/>
                <w:szCs w:val="5"/>
                <w:color w:val="auto"/>
              </w:rPr>
              <w:t>·</w:t>
            </w:r>
            <w:r>
              <w:rPr>
                <w:rFonts w:ascii="Arial" w:cs="Arial" w:eastAsia="Arial" w:hAnsi="Arial"/>
                <w:sz w:val="14"/>
                <w:szCs w:val="14"/>
                <w:color w:val="auto"/>
              </w:rPr>
              <w:t xml:space="preserve">  60325 Frankfurt am Main</w:t>
            </w:r>
          </w:p>
        </w:tc>
        <w:tc>
          <w:tcPr>
            <w:tcW w:w="2580" w:type="dxa"/>
            <w:vAlign w:val="bottom"/>
            <w:gridSpan w:val="2"/>
          </w:tcPr>
          <w:p>
            <w:pPr>
              <w:ind w:left="1020"/>
              <w:spacing w:after="0"/>
              <w:rPr>
                <w:sz w:val="20"/>
                <w:szCs w:val="20"/>
                <w:color w:val="auto"/>
              </w:rPr>
            </w:pPr>
            <w:r>
              <w:rPr>
                <w:rFonts w:ascii="Arial" w:cs="Arial" w:eastAsia="Arial" w:hAnsi="Arial"/>
                <w:sz w:val="16"/>
                <w:szCs w:val="16"/>
                <w:color w:val="auto"/>
              </w:rPr>
              <w:t>FLORIAN WOLFF</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2580" w:type="dxa"/>
            <w:vAlign w:val="bottom"/>
            <w:gridSpan w:val="2"/>
          </w:tcPr>
          <w:p>
            <w:pPr>
              <w:ind w:left="1020"/>
              <w:spacing w:after="0"/>
              <w:rPr>
                <w:sz w:val="20"/>
                <w:szCs w:val="20"/>
                <w:color w:val="auto"/>
              </w:rPr>
            </w:pPr>
            <w:r>
              <w:rPr>
                <w:rFonts w:ascii="Arial" w:cs="Arial" w:eastAsia="Arial" w:hAnsi="Arial"/>
                <w:sz w:val="14"/>
                <w:szCs w:val="14"/>
                <w:color w:val="auto"/>
              </w:rPr>
              <w:t>Partner</w:t>
            </w:r>
          </w:p>
        </w:tc>
        <w:tc>
          <w:tcPr>
            <w:tcW w:w="0" w:type="dxa"/>
            <w:vAlign w:val="bottom"/>
          </w:tcPr>
          <w:p>
            <w:pPr>
              <w:spacing w:after="0"/>
              <w:rPr>
                <w:sz w:val="1"/>
                <w:szCs w:val="1"/>
                <w:color w:val="auto"/>
              </w:rPr>
            </w:pPr>
          </w:p>
        </w:tc>
      </w:tr>
      <w:tr>
        <w:trPr>
          <w:trHeight w:val="190"/>
        </w:trPr>
        <w:tc>
          <w:tcPr>
            <w:tcW w:w="4600" w:type="dxa"/>
            <w:vAlign w:val="bottom"/>
            <w:vMerge w:val="restart"/>
          </w:tcPr>
          <w:p>
            <w:pPr>
              <w:spacing w:after="0"/>
              <w:rPr>
                <w:sz w:val="20"/>
                <w:szCs w:val="20"/>
                <w:color w:val="auto"/>
              </w:rPr>
            </w:pPr>
            <w:r>
              <w:rPr>
                <w:rFonts w:ascii="Arial" w:cs="Arial" w:eastAsia="Arial" w:hAnsi="Arial"/>
                <w:sz w:val="20"/>
                <w:szCs w:val="20"/>
                <w:b w:val="1"/>
                <w:bCs w:val="1"/>
                <w:color w:val="auto"/>
              </w:rPr>
              <w:t>XCHG Limited</w:t>
            </w:r>
          </w:p>
        </w:tc>
        <w:tc>
          <w:tcPr>
            <w:tcW w:w="1300" w:type="dxa"/>
            <w:vAlign w:val="bottom"/>
          </w:tcPr>
          <w:p>
            <w:pPr>
              <w:ind w:left="1020"/>
              <w:spacing w:after="0"/>
              <w:rPr>
                <w:sz w:val="20"/>
                <w:szCs w:val="20"/>
                <w:color w:val="auto"/>
              </w:rPr>
            </w:pPr>
            <w:r>
              <w:rPr>
                <w:rFonts w:ascii="Arial" w:cs="Arial" w:eastAsia="Arial" w:hAnsi="Arial"/>
                <w:sz w:val="14"/>
                <w:szCs w:val="14"/>
                <w:color w:val="auto"/>
              </w:rPr>
              <w:t>Tel.</w:t>
            </w:r>
          </w:p>
        </w:tc>
        <w:tc>
          <w:tcPr>
            <w:tcW w:w="1280" w:type="dxa"/>
            <w:vAlign w:val="bottom"/>
          </w:tcPr>
          <w:p>
            <w:pPr>
              <w:jc w:val="right"/>
              <w:spacing w:after="0"/>
              <w:rPr>
                <w:sz w:val="20"/>
                <w:szCs w:val="20"/>
                <w:color w:val="auto"/>
              </w:rPr>
            </w:pPr>
            <w:r>
              <w:rPr>
                <w:rFonts w:ascii="Arial" w:cs="Arial" w:eastAsia="Arial" w:hAnsi="Arial"/>
                <w:sz w:val="14"/>
                <w:szCs w:val="14"/>
                <w:color w:val="auto"/>
                <w:w w:val="96"/>
              </w:rPr>
              <w:t>+49-69-17 00 00-148</w:t>
            </w: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1300" w:type="dxa"/>
            <w:vAlign w:val="bottom"/>
          </w:tcPr>
          <w:p>
            <w:pPr>
              <w:ind w:left="1020"/>
              <w:spacing w:after="0"/>
              <w:rPr>
                <w:sz w:val="20"/>
                <w:szCs w:val="20"/>
                <w:color w:val="auto"/>
              </w:rPr>
            </w:pPr>
            <w:r>
              <w:rPr>
                <w:rFonts w:ascii="Arial" w:cs="Arial" w:eastAsia="Arial" w:hAnsi="Arial"/>
                <w:sz w:val="14"/>
                <w:szCs w:val="14"/>
                <w:color w:val="auto"/>
              </w:rPr>
              <w:t>Fax</w:t>
            </w:r>
          </w:p>
        </w:tc>
        <w:tc>
          <w:tcPr>
            <w:tcW w:w="1280" w:type="dxa"/>
            <w:vAlign w:val="bottom"/>
          </w:tcPr>
          <w:p>
            <w:pPr>
              <w:jc w:val="right"/>
              <w:spacing w:after="0"/>
              <w:rPr>
                <w:sz w:val="20"/>
                <w:szCs w:val="20"/>
                <w:color w:val="auto"/>
              </w:rPr>
            </w:pPr>
            <w:r>
              <w:rPr>
                <w:rFonts w:ascii="Arial" w:cs="Arial" w:eastAsia="Arial" w:hAnsi="Arial"/>
                <w:sz w:val="14"/>
                <w:szCs w:val="14"/>
                <w:color w:val="auto"/>
                <w:w w:val="96"/>
              </w:rPr>
              <w:t>+49-69-17 00 00-226</w:t>
            </w:r>
          </w:p>
        </w:tc>
        <w:tc>
          <w:tcPr>
            <w:tcW w:w="0" w:type="dxa"/>
            <w:vAlign w:val="bottom"/>
          </w:tcPr>
          <w:p>
            <w:pPr>
              <w:spacing w:after="0"/>
              <w:rPr>
                <w:sz w:val="1"/>
                <w:szCs w:val="1"/>
                <w:color w:val="auto"/>
              </w:rPr>
            </w:pPr>
          </w:p>
        </w:tc>
      </w:tr>
      <w:tr>
        <w:trPr>
          <w:trHeight w:val="166"/>
        </w:trPr>
        <w:tc>
          <w:tcPr>
            <w:tcW w:w="4600" w:type="dxa"/>
            <w:vAlign w:val="bottom"/>
          </w:tcPr>
          <w:p>
            <w:pPr>
              <w:spacing w:after="0" w:line="166" w:lineRule="exact"/>
              <w:rPr>
                <w:sz w:val="20"/>
                <w:szCs w:val="20"/>
                <w:color w:val="auto"/>
              </w:rPr>
            </w:pPr>
            <w:r>
              <w:rPr>
                <w:rFonts w:ascii="Arial" w:cs="Arial" w:eastAsia="Arial" w:hAnsi="Arial"/>
                <w:sz w:val="19"/>
                <w:szCs w:val="19"/>
                <w:color w:val="auto"/>
              </w:rPr>
              <w:t>XCharge Europe GmbH, Heselstücken 18,</w:t>
            </w:r>
          </w:p>
        </w:tc>
        <w:tc>
          <w:tcPr>
            <w:tcW w:w="2580" w:type="dxa"/>
            <w:vAlign w:val="bottom"/>
            <w:gridSpan w:val="2"/>
          </w:tcPr>
          <w:p>
            <w:pPr>
              <w:ind w:left="1020"/>
              <w:spacing w:after="0"/>
              <w:rPr>
                <w:sz w:val="20"/>
                <w:szCs w:val="20"/>
                <w:color w:val="auto"/>
              </w:rPr>
            </w:pPr>
            <w:r>
              <w:rPr>
                <w:rFonts w:ascii="Arial" w:cs="Arial" w:eastAsia="Arial" w:hAnsi="Arial"/>
                <w:sz w:val="14"/>
                <w:szCs w:val="14"/>
                <w:color w:val="auto"/>
              </w:rPr>
              <w:t>FWolff@goerg.de</w:t>
            </w:r>
          </w:p>
        </w:tc>
        <w:tc>
          <w:tcPr>
            <w:tcW w:w="0" w:type="dxa"/>
            <w:vAlign w:val="bottom"/>
          </w:tcPr>
          <w:p>
            <w:pPr>
              <w:spacing w:after="0"/>
              <w:rPr>
                <w:sz w:val="1"/>
                <w:szCs w:val="1"/>
                <w:color w:val="auto"/>
              </w:rPr>
            </w:pPr>
          </w:p>
        </w:tc>
      </w:tr>
      <w:tr>
        <w:trPr>
          <w:trHeight w:val="249"/>
        </w:trPr>
        <w:tc>
          <w:tcPr>
            <w:tcW w:w="4600" w:type="dxa"/>
            <w:vAlign w:val="bottom"/>
          </w:tcPr>
          <w:p>
            <w:pPr>
              <w:spacing w:after="0"/>
              <w:rPr>
                <w:sz w:val="20"/>
                <w:szCs w:val="20"/>
                <w:color w:val="auto"/>
              </w:rPr>
            </w:pPr>
            <w:r>
              <w:rPr>
                <w:rFonts w:ascii="Arial" w:cs="Arial" w:eastAsia="Arial" w:hAnsi="Arial"/>
                <w:sz w:val="19"/>
                <w:szCs w:val="19"/>
                <w:color w:val="auto"/>
              </w:rPr>
              <w:t>22453 Hamburg, Germany</w:t>
            </w:r>
          </w:p>
        </w:tc>
        <w:tc>
          <w:tcPr>
            <w:tcW w:w="2580" w:type="dxa"/>
            <w:vAlign w:val="bottom"/>
            <w:gridSpan w:val="2"/>
          </w:tcPr>
          <w:p>
            <w:pPr>
              <w:ind w:left="1020"/>
              <w:spacing w:after="0"/>
              <w:rPr>
                <w:sz w:val="20"/>
                <w:szCs w:val="20"/>
                <w:color w:val="auto"/>
              </w:rPr>
            </w:pPr>
            <w:r>
              <w:rPr>
                <w:rFonts w:ascii="Arial" w:cs="Arial" w:eastAsia="Arial" w:hAnsi="Arial"/>
                <w:sz w:val="14"/>
                <w:szCs w:val="14"/>
                <w:color w:val="auto"/>
                <w:w w:val="92"/>
              </w:rPr>
              <w:t>Sekretariat: Zeljana Vuletic</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Ulmenstraße 30</w:t>
      </w:r>
    </w:p>
    <w:p>
      <w:pPr>
        <w:ind w:right="4220"/>
        <w:spacing w:after="0" w:line="191" w:lineRule="auto"/>
        <w:rPr>
          <w:sz w:val="20"/>
          <w:szCs w:val="20"/>
          <w:color w:val="auto"/>
        </w:rPr>
      </w:pPr>
      <w:r>
        <w:rPr>
          <w:rFonts w:ascii="Arial" w:cs="Arial" w:eastAsia="Arial" w:hAnsi="Arial"/>
          <w:sz w:val="19"/>
          <w:szCs w:val="19"/>
          <w:color w:val="auto"/>
        </w:rPr>
        <w:t xml:space="preserve">XCharge Energy USA Inc, 19121 Marketplace Avenue, Building 2- </w:t>
      </w:r>
      <w:r>
        <w:rPr>
          <w:rFonts w:ascii="Arial" w:cs="Arial" w:eastAsia="Arial" w:hAnsi="Arial"/>
          <w:sz w:val="14"/>
          <w:szCs w:val="14"/>
          <w:color w:val="auto"/>
        </w:rPr>
        <w:t>60325 Frankfurt am Main</w:t>
      </w:r>
      <w:r>
        <w:rPr>
          <w:rFonts w:ascii="Arial" w:cs="Arial" w:eastAsia="Arial" w:hAnsi="Arial"/>
          <w:sz w:val="19"/>
          <w:szCs w:val="19"/>
          <w:color w:val="auto"/>
        </w:rPr>
        <w:t xml:space="preserve"> Suite 2-145,</w:t>
      </w:r>
    </w:p>
    <w:p>
      <w:pPr>
        <w:spacing w:after="0"/>
        <w:tabs>
          <w:tab w:leader="none" w:pos="5600" w:val="left"/>
          <w:tab w:leader="none" w:pos="5960" w:val="left"/>
        </w:tabs>
        <w:rPr>
          <w:sz w:val="20"/>
          <w:szCs w:val="20"/>
          <w:color w:val="auto"/>
        </w:rPr>
      </w:pPr>
      <w:r>
        <w:rPr>
          <w:rFonts w:ascii="Arial" w:cs="Arial" w:eastAsia="Arial" w:hAnsi="Arial"/>
          <w:sz w:val="18"/>
          <w:szCs w:val="18"/>
          <w:color w:val="auto"/>
        </w:rPr>
        <w:t>Kyle, TX 78640, United States</w:t>
      </w:r>
      <w:r>
        <w:rPr>
          <w:sz w:val="20"/>
          <w:szCs w:val="20"/>
          <w:color w:val="auto"/>
        </w:rPr>
        <w:tab/>
      </w:r>
      <w:r>
        <w:rPr>
          <w:rFonts w:ascii="Arial" w:cs="Arial" w:eastAsia="Arial" w:hAnsi="Arial"/>
          <w:sz w:val="25"/>
          <w:szCs w:val="25"/>
          <w:color w:val="auto"/>
          <w:vertAlign w:val="superscript"/>
        </w:rPr>
        <w:t>Tel.</w:t>
      </w:r>
      <w:r>
        <w:rPr>
          <w:sz w:val="20"/>
          <w:szCs w:val="20"/>
          <w:color w:val="auto"/>
        </w:rPr>
        <w:tab/>
      </w:r>
      <w:r>
        <w:rPr>
          <w:rFonts w:ascii="Arial" w:cs="Arial" w:eastAsia="Arial" w:hAnsi="Arial"/>
          <w:sz w:val="19"/>
          <w:szCs w:val="19"/>
          <w:color w:val="auto"/>
          <w:vertAlign w:val="superscript"/>
        </w:rPr>
        <w:t>+49-69-17 00 00-17</w:t>
      </w:r>
    </w:p>
    <w:p>
      <w:pPr>
        <w:ind w:left="5620"/>
        <w:spacing w:after="0" w:line="211" w:lineRule="auto"/>
        <w:rPr>
          <w:sz w:val="20"/>
          <w:szCs w:val="20"/>
          <w:color w:val="auto"/>
        </w:rPr>
      </w:pPr>
      <w:r>
        <w:rPr>
          <w:rFonts w:ascii="Arial" w:cs="Arial" w:eastAsia="Arial" w:hAnsi="Arial"/>
          <w:sz w:val="14"/>
          <w:szCs w:val="14"/>
          <w:color w:val="auto"/>
        </w:rPr>
        <w:t>www.goerg.de</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Our file: 6660/060144-23</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Frankfurt a. M., 27 April 2026</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 </w:t>
      </w:r>
      <w:r>
        <w:rPr>
          <w:rFonts w:ascii="Arial" w:cs="Arial" w:eastAsia="Arial" w:hAnsi="Arial"/>
          <w:sz w:val="20"/>
          <w:szCs w:val="20"/>
          <w:b w:val="1"/>
          <w:bCs w:val="1"/>
          <w:u w:val="single" w:color="auto"/>
          <w:color w:val="auto"/>
        </w:rPr>
        <w:t>XCHG Limited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are acting as German legal advisors to XCHG Limited, an exempted company incorporated with limited liability in the Cayman Islands (the “Company”), in connection with the filing by the Company with the United States Securities and Exchange Commission (“SEC”) of an annual report on Form 20-F for the year ended 31 December 2025 (the “Annual Report”).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consent to the reference to our firm under the heading “Item 10. Additional Information—E. Taxation—German Tax Considerations” in the Annual Report, and further consent to the incorporation by reference of the summaries of our opinions that appear in the Annual Report into the Registration Statement on Form F-1 (File No. 333-276802), as amended.</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also consent to the filing with the SEC of this consent letter as an exhibit to the Annual Report. In giving such consent, we do not thereby admit that we are in the category of persons whose consent is required under Section 7 of the Securities Act of 1933, or under the Securities Exchange Act of 1934, in each case, as amended, or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GÖRG Partnerschaft von Rechtsanwälten mbB</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GÖRG Partnerschaft von Rechtsanwälten mbB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 (No. 333-292266) on Form F-3 and registration statement (No.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333-294184) on Form S-8 of our report dated June 10, 2024, with respect to the consolidated financial statements of XCHG Limited.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KPMG Huazhen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b w:val="1"/>
          <w:bCs w:val="1"/>
          <w:color w:val="auto"/>
        </w:rPr>
        <w:t>Exhibit 15.5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FIRM’S CONSENT</w:t>
      </w:r>
    </w:p>
    <w:p>
      <w:pPr>
        <w:spacing w:after="0" w:line="23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We consent to the incorporation by reference in this Registration Statement on Form F-3 (No. 333-292266) and S-8 (No. 333-294184) of our report dated April 27, 2026 relating to the financial statements appearing in the Annual Report on Form 20-F of XCHG Limited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Marcum Asia CPAs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York, 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April 27, 2026</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NEW YORK OFFICE • 7 Penn Plaza • Suite 830 • New York, New York • 10001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Phone 646.442.4845 • Fax 646.349.5200 • www.marcumasia.com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decimal"/>
      <w:start w:val="1"/>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lowerRoman"/>
      <w:start w:val="2"/>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1)"/>
      <w:numFmt w:val="decimal"/>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1)"/>
      <w:numFmt w:val="lowerRoman"/>
      <w:start w:val="4"/>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1)"/>
      <w:numFmt w:val="decimal"/>
      <w:start w:val="4"/>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lowerRoman"/>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lowerLetter"/>
      <w:start w:val="1"/>
    </w:lvl>
  </w:abstractNum>
  <w:abstractNum w:abstractNumId="59">
    <w:nsid w:val="6AA78F7F"/>
    <w:multiLevelType w:val="hybridMultilevel"/>
    <w:lvl w:ilvl="0">
      <w:lvlJc w:val="left"/>
      <w:lvlText w:val="(%1)"/>
      <w:numFmt w:val="lowerLetter"/>
      <w:start w:val="2"/>
    </w:lvl>
  </w:abstractNum>
  <w:abstractNum w:abstractNumId="60">
    <w:nsid w:val="7672BD23"/>
    <w:multiLevelType w:val="hybridMultilevel"/>
    <w:lvl w:ilvl="0">
      <w:lvlJc w:val="left"/>
      <w:lvlText w:val="%1."/>
      <w:numFmt w:val="lowerRoman"/>
      <w:start w:val="1"/>
    </w:lvl>
    <w:lvl w:ilvl="1">
      <w:lvlJc w:val="left"/>
      <w:lvlText w:val="(%2)"/>
      <w:numFmt w:val="lowerLetter"/>
      <w:start w:val="1"/>
    </w:lvl>
  </w:abstractNum>
  <w:abstractNum w:abstractNumId="61">
    <w:nsid w:val="6FC75AF8"/>
    <w:multiLevelType w:val="hybridMultilevel"/>
    <w:lvl w:ilvl="0">
      <w:lvlJc w:val="left"/>
      <w:lvlText w:val="(%1)"/>
      <w:numFmt w:val="lowerLetter"/>
      <w:start w:val="2"/>
    </w:lvl>
  </w:abstractNum>
  <w:abstractNum w:abstractNumId="62">
    <w:nsid w:val="6A5F7029"/>
    <w:multiLevelType w:val="hybridMultilevel"/>
    <w:lvl w:ilvl="0">
      <w:lvlJc w:val="left"/>
      <w:lvlText w:val="(%1)"/>
      <w:numFmt w:val="lowerLetter"/>
      <w:start w:val="3"/>
    </w:lvl>
  </w:abstractNum>
  <w:abstractNum w:abstractNumId="63">
    <w:nsid w:val="7D5E18F8"/>
    <w:multiLevelType w:val="hybridMultilevel"/>
    <w:lvl w:ilvl="0">
      <w:lvlJc w:val="left"/>
      <w:lvlText w:val="%1."/>
      <w:numFmt w:val="decimal"/>
      <w:start w:val="2"/>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Letter"/>
      <w:start w:val="2"/>
    </w:lvl>
  </w:abstractNum>
  <w:abstractNum w:abstractNumId="66">
    <w:nsid w:val="7DE67713"/>
    <w:multiLevelType w:val="hybridMultilevel"/>
    <w:lvl w:ilvl="0">
      <w:lvlJc w:val="left"/>
      <w:lvlText w:val="(%1)"/>
      <w:numFmt w:val="lowerLetter"/>
      <w:start w:val="3"/>
    </w:lvl>
  </w:abstractNum>
  <w:abstractNum w:abstractNumId="67">
    <w:nsid w:val="555C55B5"/>
    <w:multiLevelType w:val="hybridMultilevel"/>
    <w:lvl w:ilvl="0">
      <w:lvlJc w:val="left"/>
      <w:lvlText w:val="(%1)"/>
      <w:numFmt w:val="lowerLetter"/>
      <w:start w:val="4"/>
    </w:lvl>
  </w:abstractNum>
  <w:abstractNum w:abstractNumId="68">
    <w:nsid w:val="3FA62ACA"/>
    <w:multiLevelType w:val="hybridMultilevel"/>
    <w:lvl w:ilvl="0">
      <w:lvlJc w:val="left"/>
      <w:lvlText w:val="(%1)"/>
      <w:numFmt w:val="lowerLetter"/>
      <w:start w:val="5"/>
    </w:lvl>
  </w:abstractNum>
  <w:abstractNum w:abstractNumId="69">
    <w:nsid w:val="14FCE74E"/>
    <w:multiLevelType w:val="hybridMultilevel"/>
    <w:lvl w:ilvl="0">
      <w:lvlJc w:val="left"/>
      <w:lvlText w:val="(%1)"/>
      <w:numFmt w:val="lowerLetter"/>
      <w:start w:val="6"/>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1)"/>
      <w:numFmt w:val="lowerLetter"/>
      <w:start w:val="8"/>
    </w:lvl>
  </w:abstractNum>
  <w:abstractNum w:abstractNumId="72">
    <w:nsid w:val="9DAF632"/>
    <w:multiLevelType w:val="hybridMultilevel"/>
    <w:lvl w:ilvl="0">
      <w:lvlJc w:val="left"/>
      <w:lvlText w:val="(%1)"/>
      <w:numFmt w:val="lowerRoman"/>
      <w:start w:val="1"/>
    </w:lvl>
  </w:abstractNum>
  <w:abstractNum w:abstractNumId="73">
    <w:nsid w:val="53299938"/>
    <w:multiLevelType w:val="hybridMultilevel"/>
    <w:lvl w:ilvl="0">
      <w:lvlJc w:val="left"/>
      <w:lvlText w:val="(%1)"/>
      <w:numFmt w:val="lowerLetter"/>
      <w:start w:val="10"/>
    </w:lvl>
  </w:abstractNum>
  <w:abstractNum w:abstractNumId="74">
    <w:nsid w:val="1FBFE8E0"/>
    <w:multiLevelType w:val="hybridMultilevel"/>
    <w:lvl w:ilvl="0">
      <w:lvlJc w:val="left"/>
      <w:lvlText w:val="(%1)"/>
      <w:numFmt w:val="lowerLetter"/>
      <w:start w:val="11"/>
    </w:lvl>
  </w:abstractNum>
  <w:abstractNum w:abstractNumId="75">
    <w:nsid w:val="5092CA79"/>
    <w:multiLevelType w:val="hybridMultilevel"/>
    <w:lvl w:ilvl="0">
      <w:lvlJc w:val="left"/>
      <w:lvlText w:val="(%1)"/>
      <w:numFmt w:val="lowerLetter"/>
      <w:start w:val="12"/>
    </w:lvl>
  </w:abstractNum>
  <w:abstractNum w:abstractNumId="76">
    <w:nsid w:val="1D545C4D"/>
    <w:multiLevelType w:val="hybridMultilevel"/>
    <w:lvl w:ilvl="0">
      <w:lvlJc w:val="left"/>
      <w:lvlText w:val="(%1)"/>
      <w:numFmt w:val="lowerLetter"/>
      <w:start w:val="13"/>
    </w:lvl>
  </w:abstractNum>
  <w:abstractNum w:abstractNumId="77">
    <w:nsid w:val="59ADEA3D"/>
    <w:multiLevelType w:val="hybridMultilevel"/>
    <w:lvl w:ilvl="0">
      <w:lvlJc w:val="left"/>
      <w:lvlText w:val="(%1)"/>
      <w:numFmt w:val="lowerLetter"/>
      <w:start w:val="14"/>
    </w:lvl>
  </w:abstractNum>
  <w:abstractNum w:abstractNumId="78">
    <w:nsid w:val="288F1A34"/>
    <w:multiLevelType w:val="hybridMultilevel"/>
    <w:lvl w:ilvl="0">
      <w:lvlJc w:val="left"/>
      <w:lvlText w:val="(%1)"/>
      <w:numFmt w:val="lowerLetter"/>
      <w:start w:val="15"/>
    </w:lvl>
  </w:abstractNum>
  <w:abstractNum w:abstractNumId="79">
    <w:nsid w:val="2A155DBC"/>
    <w:multiLevelType w:val="hybridMultilevel"/>
    <w:lvl w:ilvl="0">
      <w:lvlJc w:val="left"/>
      <w:lvlText w:val="(%1)"/>
      <w:numFmt w:val="lowerLetter"/>
      <w:start w:val="16"/>
    </w:lvl>
  </w:abstractNum>
  <w:abstractNum w:abstractNumId="80">
    <w:nsid w:val="1D9F6E5F"/>
    <w:multiLevelType w:val="hybridMultilevel"/>
    <w:lvl w:ilvl="0">
      <w:lvlJc w:val="left"/>
      <w:lvlText w:val="(%1)"/>
      <w:numFmt w:val="lowerLetter"/>
      <w:start w:val="17"/>
    </w:lvl>
  </w:abstractNum>
  <w:abstractNum w:abstractNumId="81">
    <w:nsid w:val="97E1B4E"/>
    <w:multiLevelType w:val="hybridMultilevel"/>
    <w:lvl w:ilvl="0">
      <w:lvlJc w:val="left"/>
      <w:lvlText w:val="(%1)"/>
      <w:numFmt w:val="lowerLetter"/>
      <w:start w:val="18"/>
    </w:lvl>
  </w:abstractNum>
  <w:abstractNum w:abstractNumId="82">
    <w:nsid w:val="51088277"/>
    <w:multiLevelType w:val="hybridMultilevel"/>
    <w:lvl w:ilvl="0">
      <w:lvlJc w:val="left"/>
      <w:lvlText w:val="(%1)"/>
      <w:numFmt w:val="lowerLetter"/>
      <w:start w:val="19"/>
    </w:lvl>
  </w:abstractNum>
  <w:abstractNum w:abstractNumId="83">
    <w:nsid w:val="1CA0C5FA"/>
    <w:multiLevelType w:val="hybridMultilevel"/>
    <w:lvl w:ilvl="0">
      <w:lvlJc w:val="left"/>
      <w:lvlText w:val="(%1)"/>
      <w:numFmt w:val="lowerLetter"/>
      <w:start w:val="21"/>
    </w:lvl>
  </w:abstractNum>
  <w:abstractNum w:abstractNumId="84">
    <w:nsid w:val="53584BCB"/>
    <w:multiLevelType w:val="hybridMultilevel"/>
    <w:lvl w:ilvl="0">
      <w:lvlJc w:val="left"/>
      <w:lvlText w:val="(%1)"/>
      <w:numFmt w:val="lowerRoman"/>
      <w:start w:val="5"/>
    </w:lvl>
  </w:abstractNum>
  <w:abstractNum w:abstractNumId="85">
    <w:nsid w:val="415E286C"/>
    <w:multiLevelType w:val="hybridMultilevel"/>
    <w:lvl w:ilvl="0">
      <w:lvlJc w:val="left"/>
      <w:lvlText w:val="(%1)"/>
      <w:numFmt w:val="lowerLetter"/>
      <w:start w:val="23"/>
    </w:lvl>
  </w:abstractNum>
  <w:abstractNum w:abstractNumId="86">
    <w:nsid w:val="7C58FD05"/>
    <w:multiLevelType w:val="hybridMultilevel"/>
    <w:lvl w:ilvl="0">
      <w:lvlJc w:val="left"/>
      <w:lvlText w:val="(%1)"/>
      <w:numFmt w:val="lowerRoman"/>
      <w:start w:val="10"/>
    </w:lvl>
  </w:abstractNum>
  <w:abstractNum w:abstractNumId="87">
    <w:nsid w:val="23D86AAC"/>
    <w:multiLevelType w:val="hybridMultilevel"/>
    <w:lvl w:ilvl="0">
      <w:lvlJc w:val="left"/>
      <w:lvlText w:val="(%1)"/>
      <w:numFmt w:val="lowerLetter"/>
      <w:start w:val="25"/>
    </w:lvl>
  </w:abstractNum>
  <w:abstractNum w:abstractNumId="88">
    <w:nsid w:val="45E6D486"/>
    <w:multiLevelType w:val="hybridMultilevel"/>
    <w:lvl w:ilvl="0">
      <w:lvlJc w:val="left"/>
      <w:lvlText w:val="(%1)"/>
      <w:numFmt w:val="lowerLetter"/>
      <w:start w:val="26"/>
    </w:lvl>
  </w:abstractNum>
  <w:abstractNum w:abstractNumId="89">
    <w:nsid w:val="5C10FE21"/>
    <w:multiLevelType w:val="hybridMultilevel"/>
    <w:lvl w:ilvl="0">
      <w:lvlJc w:val="left"/>
      <w:lvlText w:val="(%1)"/>
      <w:numFmt w:val="lowerLetter"/>
      <w:start w:val="27"/>
    </w:lvl>
  </w:abstractNum>
  <w:abstractNum w:abstractNumId="90">
    <w:nsid w:val="E7FFA2B"/>
    <w:multiLevelType w:val="hybridMultilevel"/>
    <w:lvl w:ilvl="0">
      <w:lvlJc w:val="left"/>
      <w:lvlText w:val="(%1)"/>
      <w:numFmt w:val="lowerLetter"/>
      <w:start w:val="28"/>
    </w:lvl>
  </w:abstractNum>
  <w:abstractNum w:abstractNumId="91">
    <w:nsid w:val="3C5991AA"/>
    <w:multiLevelType w:val="hybridMultilevel"/>
    <w:lvl w:ilvl="0">
      <w:lvlJc w:val="left"/>
      <w:lvlText w:val="(%1)"/>
      <w:numFmt w:val="lowerLetter"/>
      <w:start w:val="29"/>
    </w:lvl>
  </w:abstractNum>
  <w:abstractNum w:abstractNumId="92">
    <w:nsid w:val="4BD8591A"/>
    <w:multiLevelType w:val="hybridMultilevel"/>
    <w:lvl w:ilvl="0">
      <w:lvlJc w:val="left"/>
      <w:lvlText w:val="(%1)"/>
      <w:numFmt w:val="lowerLetter"/>
      <w:start w:val="30"/>
    </w:lvl>
  </w:abstractNum>
  <w:abstractNum w:abstractNumId="93">
    <w:nsid w:val="78DF6A55"/>
    <w:multiLevelType w:val="hybridMultilevel"/>
    <w:lvl w:ilvl="0">
      <w:lvlJc w:val="left"/>
      <w:lvlText w:val="(%1)"/>
      <w:numFmt w:val="lowerLetter"/>
      <w:start w:val="31"/>
    </w:lvl>
  </w:abstractNum>
  <w:abstractNum w:abstractNumId="94">
    <w:nsid w:val="39B7AAA2"/>
    <w:multiLevelType w:val="hybridMultilevel"/>
    <w:lvl w:ilvl="0">
      <w:lvlJc w:val="left"/>
      <w:lvlText w:val="(%1)"/>
      <w:numFmt w:val="lowerLetter"/>
      <w:start w:val="32"/>
    </w:lvl>
  </w:abstractNum>
  <w:abstractNum w:abstractNumId="95">
    <w:nsid w:val="2B0D8DBE"/>
    <w:multiLevelType w:val="hybridMultilevel"/>
    <w:lvl w:ilvl="0">
      <w:lvlJc w:val="left"/>
      <w:lvlText w:val="%1."/>
      <w:numFmt w:val="decimal"/>
      <w:start w:val="3"/>
    </w:lvl>
  </w:abstractNum>
  <w:abstractNum w:abstractNumId="96">
    <w:nsid w:val="6C80EC70"/>
    <w:multiLevelType w:val="hybridMultilevel"/>
    <w:lvl w:ilvl="0">
      <w:lvlJc w:val="left"/>
      <w:lvlText w:val="%1."/>
      <w:numFmt w:val="decimal"/>
      <w:start w:val="4"/>
    </w:lvl>
  </w:abstractNum>
  <w:abstractNum w:abstractNumId="97">
    <w:nsid w:val="379E21B5"/>
    <w:multiLevelType w:val="hybridMultilevel"/>
    <w:lvl w:ilvl="0">
      <w:lvlJc w:val="left"/>
      <w:lvlText w:val="%1."/>
      <w:numFmt w:val="decimal"/>
      <w:start w:val="5"/>
    </w:lvl>
  </w:abstractNum>
  <w:abstractNum w:abstractNumId="98">
    <w:nsid w:val="69E373"/>
    <w:multiLevelType w:val="hybridMultilevel"/>
    <w:lvl w:ilvl="0">
      <w:lvlJc w:val="left"/>
      <w:lvlText w:val="%1."/>
      <w:numFmt w:val="decimal"/>
      <w:start w:val="6"/>
    </w:lvl>
  </w:abstractNum>
  <w:abstractNum w:abstractNumId="99">
    <w:nsid w:val="2C27173B"/>
    <w:multiLevelType w:val="hybridMultilevel"/>
    <w:lvl w:ilvl="0">
      <w:lvlJc w:val="left"/>
      <w:lvlText w:val="%1."/>
      <w:numFmt w:val="decimal"/>
      <w:start w:val="7"/>
    </w:lvl>
  </w:abstractNum>
  <w:abstractNum w:abstractNumId="100">
    <w:nsid w:val="4C9B0904"/>
    <w:multiLevelType w:val="hybridMultilevel"/>
    <w:lvl w:ilvl="0">
      <w:lvlJc w:val="left"/>
      <w:lvlText w:val="%1."/>
      <w:numFmt w:val="decimal"/>
      <w:start w:val="8"/>
    </w:lvl>
  </w:abstractNum>
  <w:abstractNum w:abstractNumId="101">
    <w:nsid w:val="6AA7B75C"/>
    <w:multiLevelType w:val="hybridMultilevel"/>
    <w:lvl w:ilvl="0">
      <w:lvlJc w:val="left"/>
      <w:lvlText w:val="(%1)"/>
      <w:numFmt w:val="lowerRoman"/>
      <w:start w:val="1"/>
    </w:lvl>
  </w:abstractNum>
  <w:abstractNum w:abstractNumId="102">
    <w:nsid w:val="1DF029D3"/>
    <w:multiLevelType w:val="hybridMultilevel"/>
    <w:lvl w:ilvl="0">
      <w:lvlJc w:val="left"/>
      <w:lvlText w:val="(%1)"/>
      <w:numFmt w:val="lowerRoman"/>
      <w:start w:val="2"/>
    </w:lvl>
  </w:abstractNum>
  <w:abstractNum w:abstractNumId="103">
    <w:nsid w:val="5675FF36"/>
    <w:multiLevelType w:val="hybridMultilevel"/>
    <w:lvl w:ilvl="0">
      <w:lvlJc w:val="left"/>
      <w:lvlText w:val="%1."/>
      <w:numFmt w:val="decimal"/>
      <w:start w:val="9"/>
    </w:lvl>
  </w:abstractNum>
  <w:abstractNum w:abstractNumId="104">
    <w:nsid w:val="3DD15094"/>
    <w:multiLevelType w:val="hybridMultilevel"/>
    <w:lvl w:ilvl="0">
      <w:lvlJc w:val="left"/>
      <w:lvlText w:val="%1."/>
      <w:numFmt w:val="decimal"/>
      <w:start w:val="10"/>
    </w:lvl>
  </w:abstractNum>
  <w:abstractNum w:abstractNumId="105">
    <w:nsid w:val="3DB012B3"/>
    <w:multiLevelType w:val="hybridMultilevel"/>
    <w:lvl w:ilvl="0">
      <w:lvlJc w:val="left"/>
      <w:lvlText w:val="%1."/>
      <w:numFmt w:val="decimal"/>
      <w:start w:val="11"/>
    </w:lvl>
  </w:abstractNum>
  <w:abstractNum w:abstractNumId="106">
    <w:nsid w:val="2708C9AF"/>
    <w:multiLevelType w:val="hybridMultilevel"/>
    <w:lvl w:ilvl="0">
      <w:lvlJc w:val="left"/>
      <w:lvlText w:val="%1."/>
      <w:numFmt w:val="decimal"/>
      <w:start w:val="12"/>
    </w:lvl>
  </w:abstractNum>
  <w:abstractNum w:abstractNumId="107">
    <w:nsid w:val="5B25ACE2"/>
    <w:multiLevelType w:val="hybridMultilevel"/>
    <w:lvl w:ilvl="0">
      <w:lvlJc w:val="left"/>
      <w:lvlText w:val="%1."/>
      <w:numFmt w:val="decimal"/>
      <w:start w:val="13"/>
    </w:lvl>
  </w:abstractNum>
  <w:abstractNum w:abstractNumId="108">
    <w:nsid w:val="175DFCF0"/>
    <w:multiLevelType w:val="hybridMultilevel"/>
    <w:lvl w:ilvl="0">
      <w:lvlJc w:val="left"/>
      <w:lvlText w:val="(%1)"/>
      <w:numFmt w:val="lowerRoman"/>
      <w:start w:val="1"/>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decimal"/>
      <w:start w:val="14"/>
    </w:lvl>
  </w:abstractNum>
  <w:abstractNum w:abstractNumId="111">
    <w:nsid w:val="34FD6B4F"/>
    <w:multiLevelType w:val="hybridMultilevel"/>
    <w:lvl w:ilvl="0">
      <w:lvlJc w:val="left"/>
      <w:lvlText w:val="%1."/>
      <w:numFmt w:val="decimal"/>
      <w:start w:val="15"/>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2"/>
    </w:lvl>
  </w:abstractNum>
  <w:abstractNum w:abstractNumId="114">
    <w:nsid w:val="519E3149"/>
    <w:multiLevelType w:val="hybridMultilevel"/>
    <w:lvl w:ilvl="0">
      <w:lvlJc w:val="left"/>
      <w:lvlText w:val="(%1)"/>
      <w:numFmt w:val="lowerLetter"/>
      <w:start w:val="3"/>
    </w:lvl>
  </w:abstractNum>
  <w:abstractNum w:abstractNumId="115">
    <w:nsid w:val="2C6E4AFD"/>
    <w:multiLevelType w:val="hybridMultilevel"/>
    <w:lvl w:ilvl="0">
      <w:lvlJc w:val="left"/>
      <w:lvlText w:val="%1."/>
      <w:numFmt w:val="decimal"/>
      <w:start w:val="16"/>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lowerLetter"/>
      <w:start w:val="3"/>
    </w:lvl>
  </w:abstractNum>
  <w:abstractNum w:abstractNumId="118">
    <w:nsid w:val="5046B5A9"/>
    <w:multiLevelType w:val="hybridMultilevel"/>
    <w:lvl w:ilvl="0">
      <w:lvlJc w:val="left"/>
      <w:lvlText w:val="%1."/>
      <w:numFmt w:val="decimal"/>
      <w:start w:val="17"/>
    </w:lvl>
  </w:abstractNum>
  <w:abstractNum w:abstractNumId="119">
    <w:nsid w:val="5D888A08"/>
    <w:multiLevelType w:val="hybridMultilevel"/>
    <w:lvl w:ilvl="0">
      <w:lvlJc w:val="left"/>
      <w:lvlText w:val="%1."/>
      <w:numFmt w:val="decimal"/>
      <w:start w:val="18"/>
    </w:lvl>
    <w:lvl w:ilvl="1">
      <w:lvlJc w:val="left"/>
      <w:lvlText w:val="(%2)"/>
      <w:numFmt w:val="decimal"/>
      <w:start w:val="1"/>
    </w:lvl>
  </w:abstractNum>
  <w:abstractNum w:abstractNumId="120">
    <w:nsid w:val="2A082C70"/>
    <w:multiLevelType w:val="hybridMultilevel"/>
    <w:lvl w:ilvl="0">
      <w:lvlJc w:val="left"/>
      <w:lvlText w:val="(%1)"/>
      <w:numFmt w:val="lowerLetter"/>
      <w:start w:val="3"/>
    </w:lvl>
  </w:abstractNum>
  <w:abstractNum w:abstractNumId="121">
    <w:nsid w:val="5EC6AFD4"/>
    <w:multiLevelType w:val="hybridMultilevel"/>
    <w:lvl w:ilvl="0">
      <w:lvlJc w:val="left"/>
      <w:lvlText w:val="(%1)"/>
      <w:numFmt w:val="lowerRoman"/>
      <w:start w:val="1"/>
    </w:lvl>
  </w:abstractNum>
  <w:abstractNum w:abstractNumId="122">
    <w:nsid w:val="19E21BB2"/>
    <w:multiLevelType w:val="hybridMultilevel"/>
    <w:lvl w:ilvl="0">
      <w:lvlJc w:val="left"/>
      <w:lvlText w:val="%1"/>
      <w:numFmt w:val="decimal"/>
      <w:start w:val="1"/>
    </w:lvl>
    <w:lvl w:ilvl="1">
      <w:lvlJc w:val="left"/>
      <w:lvlText w:val="(%2)"/>
      <w:numFmt w:val="lowerRoman"/>
      <w:start w:val="3"/>
    </w:lvl>
  </w:abstractNum>
  <w:abstractNum w:abstractNumId="123">
    <w:nsid w:val="75E0858A"/>
    <w:multiLevelType w:val="hybridMultilevel"/>
    <w:lvl w:ilvl="0">
      <w:lvlJc w:val="left"/>
      <w:lvlText w:val="%1."/>
      <w:numFmt w:val="decimal"/>
      <w:start w:val="19"/>
    </w:lvl>
    <w:lvl w:ilvl="1">
      <w:lvlJc w:val="left"/>
      <w:lvlText w:val="%2"/>
      <w:numFmt w:val="lowerRoman"/>
      <w:start w:val="1"/>
    </w:lvl>
  </w:abstractNum>
  <w:abstractNum w:abstractNumId="124">
    <w:nsid w:val="57A61A29"/>
    <w:multiLevelType w:val="hybridMultilevel"/>
    <w:lvl w:ilvl="0">
      <w:lvlJc w:val="left"/>
      <w:lvlText w:val="%1."/>
      <w:numFmt w:val="decimal"/>
      <w:start w:val="20"/>
    </w:lvl>
  </w:abstractNum>
  <w:abstractNum w:abstractNumId="125">
    <w:nsid w:val="5399C654"/>
    <w:multiLevelType w:val="hybridMultilevel"/>
    <w:lvl w:ilvl="0">
      <w:lvlJc w:val="left"/>
      <w:lvlText w:val="%1."/>
      <w:numFmt w:val="decimal"/>
      <w:start w:val="21"/>
    </w:lvl>
  </w:abstractNum>
  <w:abstractNum w:abstractNumId="126">
    <w:nsid w:val="20EE1348"/>
    <w:multiLevelType w:val="hybridMultilevel"/>
    <w:lvl w:ilvl="0">
      <w:lvlJc w:val="left"/>
      <w:lvlText w:val="%1."/>
      <w:numFmt w:val="decimal"/>
      <w:start w:val="22"/>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5"/>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5"/>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397" Type="http://schemas.openxmlformats.org/officeDocument/2006/relationships/image" Target="media/image366.png"/><Relationship Id="rId398" Type="http://schemas.openxmlformats.org/officeDocument/2006/relationships/image" Target="media/image367.png"/><Relationship Id="rId399"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2"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5" Type="http://schemas.openxmlformats.org/officeDocument/2006/relationships/image" Target="media/image374.png"/><Relationship Id="rId406" Type="http://schemas.openxmlformats.org/officeDocument/2006/relationships/image" Target="media/image375.png"/><Relationship Id="rId407" Type="http://schemas.openxmlformats.org/officeDocument/2006/relationships/image" Target="media/image376.png"/><Relationship Id="rId408" Type="http://schemas.openxmlformats.org/officeDocument/2006/relationships/image" Target="media/image377.png"/><Relationship Id="rId409" Type="http://schemas.openxmlformats.org/officeDocument/2006/relationships/image" Target="media/image378.png"/><Relationship Id="rId410" Type="http://schemas.openxmlformats.org/officeDocument/2006/relationships/image" Target="media/image379.png"/><Relationship Id="rId411" Type="http://schemas.openxmlformats.org/officeDocument/2006/relationships/image" Target="media/image380.png"/><Relationship Id="rId412" Type="http://schemas.openxmlformats.org/officeDocument/2006/relationships/image" Target="media/image381.png"/><Relationship Id="rId413" Type="http://schemas.openxmlformats.org/officeDocument/2006/relationships/image" Target="media/image382.png"/><Relationship Id="rId414" Type="http://schemas.openxmlformats.org/officeDocument/2006/relationships/image" Target="media/image383.png"/><Relationship Id="rId415"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8" Type="http://schemas.openxmlformats.org/officeDocument/2006/relationships/image" Target="media/image387.png"/><Relationship Id="rId419" Type="http://schemas.openxmlformats.org/officeDocument/2006/relationships/image" Target="media/image388.png"/><Relationship Id="rId420" Type="http://schemas.openxmlformats.org/officeDocument/2006/relationships/image" Target="media/image389.png"/><Relationship Id="rId421" Type="http://schemas.openxmlformats.org/officeDocument/2006/relationships/image" Target="media/image390.png"/><Relationship Id="rId422"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441" Type="http://schemas.openxmlformats.org/officeDocument/2006/relationships/image" Target="media/image410.png"/><Relationship Id="rId442" Type="http://schemas.openxmlformats.org/officeDocument/2006/relationships/image" Target="media/image411.png"/><Relationship Id="rId443" Type="http://schemas.openxmlformats.org/officeDocument/2006/relationships/image" Target="media/image412.png"/><Relationship Id="rId444" Type="http://schemas.openxmlformats.org/officeDocument/2006/relationships/image" Target="media/image413.png"/><Relationship Id="rId445" Type="http://schemas.openxmlformats.org/officeDocument/2006/relationships/image" Target="media/image414.png"/><Relationship Id="rId446" Type="http://schemas.openxmlformats.org/officeDocument/2006/relationships/image" Target="media/image415.png"/><Relationship Id="rId447" Type="http://schemas.openxmlformats.org/officeDocument/2006/relationships/image" Target="media/image416.png"/><Relationship Id="rId448" Type="http://schemas.openxmlformats.org/officeDocument/2006/relationships/image" Target="media/image417.png"/><Relationship Id="rId449" Type="http://schemas.openxmlformats.org/officeDocument/2006/relationships/image" Target="media/image418.png"/><Relationship Id="rId450" Type="http://schemas.openxmlformats.org/officeDocument/2006/relationships/image" Target="media/image419.pn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8"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1" Type="http://schemas.openxmlformats.org/officeDocument/2006/relationships/image" Target="media/image430.png"/><Relationship Id="rId46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481" Type="http://schemas.openxmlformats.org/officeDocument/2006/relationships/image" Target="media/image450.png"/><Relationship Id="rId482" Type="http://schemas.openxmlformats.org/officeDocument/2006/relationships/image" Target="media/image451.png"/><Relationship Id="rId483"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6" Type="http://schemas.openxmlformats.org/officeDocument/2006/relationships/image" Target="media/image455.png"/><Relationship Id="rId487" Type="http://schemas.openxmlformats.org/officeDocument/2006/relationships/image" Target="media/image456.png"/><Relationship Id="rId488" Type="http://schemas.openxmlformats.org/officeDocument/2006/relationships/image" Target="media/image457.png"/><Relationship Id="rId489" Type="http://schemas.openxmlformats.org/officeDocument/2006/relationships/image" Target="media/image458.png"/><Relationship Id="rId490" Type="http://schemas.openxmlformats.org/officeDocument/2006/relationships/image" Target="media/image459.png"/><Relationship Id="rId491" Type="http://schemas.openxmlformats.org/officeDocument/2006/relationships/image" Target="media/image460.png"/><Relationship Id="rId492" Type="http://schemas.openxmlformats.org/officeDocument/2006/relationships/image" Target="media/image461.png"/><Relationship Id="rId493" Type="http://schemas.openxmlformats.org/officeDocument/2006/relationships/image" Target="media/image462.png"/><Relationship Id="rId494" Type="http://schemas.openxmlformats.org/officeDocument/2006/relationships/image" Target="media/image463.png"/><Relationship Id="rId495" Type="http://schemas.openxmlformats.org/officeDocument/2006/relationships/image" Target="media/image464.png"/><Relationship Id="rId496" Type="http://schemas.openxmlformats.org/officeDocument/2006/relationships/image" Target="media/image465.png"/><Relationship Id="rId497" Type="http://schemas.openxmlformats.org/officeDocument/2006/relationships/image" Target="media/image466.png"/><Relationship Id="rId498" Type="http://schemas.openxmlformats.org/officeDocument/2006/relationships/image" Target="media/image467.png"/><Relationship Id="rId499" Type="http://schemas.openxmlformats.org/officeDocument/2006/relationships/image" Target="media/image468.png"/><Relationship Id="rId500" Type="http://schemas.openxmlformats.org/officeDocument/2006/relationships/image" Target="media/image469.png"/><Relationship Id="rId501" Type="http://schemas.openxmlformats.org/officeDocument/2006/relationships/image" Target="media/image470.png"/><Relationship Id="rId502" Type="http://schemas.openxmlformats.org/officeDocument/2006/relationships/image" Target="media/image471.png"/><Relationship Id="rId503" Type="http://schemas.openxmlformats.org/officeDocument/2006/relationships/image" Target="media/image472.png"/><Relationship Id="rId504" Type="http://schemas.openxmlformats.org/officeDocument/2006/relationships/image" Target="media/image473.png"/><Relationship Id="rId505" Type="http://schemas.openxmlformats.org/officeDocument/2006/relationships/image" Target="media/image474.png"/><Relationship Id="rId506" Type="http://schemas.openxmlformats.org/officeDocument/2006/relationships/image" Target="media/image475.png"/><Relationship Id="rId507" Type="http://schemas.openxmlformats.org/officeDocument/2006/relationships/image" Target="media/image476.png"/><Relationship Id="rId508" Type="http://schemas.openxmlformats.org/officeDocument/2006/relationships/image" Target="media/image477.png"/><Relationship Id="rId509" Type="http://schemas.openxmlformats.org/officeDocument/2006/relationships/image" Target="media/image478.png"/><Relationship Id="rId510" Type="http://schemas.openxmlformats.org/officeDocument/2006/relationships/image" Target="media/image479.png"/><Relationship Id="rId511" Type="http://schemas.openxmlformats.org/officeDocument/2006/relationships/image" Target="media/image480.png"/><Relationship Id="rId512" Type="http://schemas.openxmlformats.org/officeDocument/2006/relationships/image" Target="media/image481.png"/><Relationship Id="rId513" Type="http://schemas.openxmlformats.org/officeDocument/2006/relationships/image" Target="media/image482.png"/><Relationship Id="rId514" Type="http://schemas.openxmlformats.org/officeDocument/2006/relationships/image" Target="media/image483.png"/><Relationship Id="rId515" Type="http://schemas.openxmlformats.org/officeDocument/2006/relationships/image" Target="media/image484.png"/><Relationship Id="rId516" Type="http://schemas.openxmlformats.org/officeDocument/2006/relationships/image" Target="media/image485.png"/><Relationship Id="rId517" Type="http://schemas.openxmlformats.org/officeDocument/2006/relationships/image" Target="media/image486.png"/><Relationship Id="rId518" Type="http://schemas.openxmlformats.org/officeDocument/2006/relationships/image" Target="media/image487.png"/><Relationship Id="rId519" Type="http://schemas.openxmlformats.org/officeDocument/2006/relationships/image" Target="media/image488.png"/><Relationship Id="rId520" Type="http://schemas.openxmlformats.org/officeDocument/2006/relationships/image" Target="media/image489.png"/><Relationship Id="rId521" Type="http://schemas.openxmlformats.org/officeDocument/2006/relationships/image" Target="media/image490.png"/><Relationship Id="rId522" Type="http://schemas.openxmlformats.org/officeDocument/2006/relationships/image" Target="media/image491.png"/><Relationship Id="rId523" Type="http://schemas.openxmlformats.org/officeDocument/2006/relationships/image" Target="media/image492.png"/><Relationship Id="rId524" Type="http://schemas.openxmlformats.org/officeDocument/2006/relationships/image" Target="media/image493.png"/><Relationship Id="rId525" Type="http://schemas.openxmlformats.org/officeDocument/2006/relationships/image" Target="media/image494.png"/><Relationship Id="rId526" Type="http://schemas.openxmlformats.org/officeDocument/2006/relationships/image" Target="media/image495.png"/><Relationship Id="rId527" Type="http://schemas.openxmlformats.org/officeDocument/2006/relationships/image" Target="media/image496.png"/><Relationship Id="rId528" Type="http://schemas.openxmlformats.org/officeDocument/2006/relationships/image" Target="media/image497.png"/><Relationship Id="rId529" Type="http://schemas.openxmlformats.org/officeDocument/2006/relationships/image" Target="media/image498.png"/><Relationship Id="rId530" Type="http://schemas.openxmlformats.org/officeDocument/2006/relationships/image" Target="media/image499.png"/><Relationship Id="rId531" Type="http://schemas.openxmlformats.org/officeDocument/2006/relationships/image" Target="media/image500.png"/><Relationship Id="rId532" Type="http://schemas.openxmlformats.org/officeDocument/2006/relationships/image" Target="media/image501.png"/><Relationship Id="rId533" Type="http://schemas.openxmlformats.org/officeDocument/2006/relationships/image" Target="media/image502.png"/><Relationship Id="rId534" Type="http://schemas.openxmlformats.org/officeDocument/2006/relationships/image" Target="media/image503.png"/><Relationship Id="rId535" Type="http://schemas.openxmlformats.org/officeDocument/2006/relationships/image" Target="media/image504.png"/><Relationship Id="rId536" Type="http://schemas.openxmlformats.org/officeDocument/2006/relationships/image" Target="media/image505.png"/><Relationship Id="rId537" Type="http://schemas.openxmlformats.org/officeDocument/2006/relationships/image" Target="media/image506.png"/><Relationship Id="rId538" Type="http://schemas.openxmlformats.org/officeDocument/2006/relationships/image" Target="media/image507.png"/><Relationship Id="rId539" Type="http://schemas.openxmlformats.org/officeDocument/2006/relationships/image" Target="media/image508.png"/><Relationship Id="rId540" Type="http://schemas.openxmlformats.org/officeDocument/2006/relationships/image" Target="media/image509.png"/><Relationship Id="rId541" Type="http://schemas.openxmlformats.org/officeDocument/2006/relationships/image" Target="media/image510.png"/><Relationship Id="rId542" Type="http://schemas.openxmlformats.org/officeDocument/2006/relationships/image" Target="media/image511.png"/><Relationship Id="rId543" Type="http://schemas.openxmlformats.org/officeDocument/2006/relationships/image" Target="media/image512.png"/><Relationship Id="rId544" Type="http://schemas.openxmlformats.org/officeDocument/2006/relationships/image" Target="media/image513.png"/><Relationship Id="rId545" Type="http://schemas.openxmlformats.org/officeDocument/2006/relationships/image" Target="media/image514.png"/><Relationship Id="rId546" Type="http://schemas.openxmlformats.org/officeDocument/2006/relationships/image" Target="media/image515.png"/><Relationship Id="rId547" Type="http://schemas.openxmlformats.org/officeDocument/2006/relationships/image" Target="media/image516.png"/><Relationship Id="rId548" Type="http://schemas.openxmlformats.org/officeDocument/2006/relationships/image" Target="media/image517.png"/><Relationship Id="rId549" Type="http://schemas.openxmlformats.org/officeDocument/2006/relationships/image" Target="media/image518.png"/><Relationship Id="rId550" Type="http://schemas.openxmlformats.org/officeDocument/2006/relationships/image" Target="media/image519.png"/><Relationship Id="rId551" Type="http://schemas.openxmlformats.org/officeDocument/2006/relationships/image" Target="media/image520.png"/><Relationship Id="rId552" Type="http://schemas.openxmlformats.org/officeDocument/2006/relationships/image" Target="media/image521.png"/><Relationship Id="rId553" Type="http://schemas.openxmlformats.org/officeDocument/2006/relationships/image" Target="media/image522.png"/><Relationship Id="rId554" Type="http://schemas.openxmlformats.org/officeDocument/2006/relationships/image" Target="media/image523.png"/><Relationship Id="rId555" Type="http://schemas.openxmlformats.org/officeDocument/2006/relationships/image" Target="media/image524.png"/><Relationship Id="rId556" Type="http://schemas.openxmlformats.org/officeDocument/2006/relationships/image" Target="media/image525.png"/><Relationship Id="rId557" Type="http://schemas.openxmlformats.org/officeDocument/2006/relationships/image" Target="media/image526.png"/><Relationship Id="rId558" Type="http://schemas.openxmlformats.org/officeDocument/2006/relationships/image" Target="media/image527.png"/><Relationship Id="rId559" Type="http://schemas.openxmlformats.org/officeDocument/2006/relationships/image" Target="media/image528.png"/><Relationship Id="rId560" Type="http://schemas.openxmlformats.org/officeDocument/2006/relationships/image" Target="media/image529.png"/><Relationship Id="rId561"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png"/><Relationship Id="rId564"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0" Type="http://schemas.openxmlformats.org/officeDocument/2006/relationships/image" Target="media/image539.png"/><Relationship Id="rId571" Type="http://schemas.openxmlformats.org/officeDocument/2006/relationships/image" Target="media/image540.png"/><Relationship Id="rId572" Type="http://schemas.openxmlformats.org/officeDocument/2006/relationships/image" Target="media/image541.png"/><Relationship Id="rId573" Type="http://schemas.openxmlformats.org/officeDocument/2006/relationships/image" Target="media/image542.png"/><Relationship Id="rId574" Type="http://schemas.openxmlformats.org/officeDocument/2006/relationships/image" Target="media/image543.png"/><Relationship Id="rId575" Type="http://schemas.openxmlformats.org/officeDocument/2006/relationships/image" Target="media/image544.png"/><Relationship Id="rId576" Type="http://schemas.openxmlformats.org/officeDocument/2006/relationships/image" Target="media/image545.png"/><Relationship Id="rId206" Type="http://schemas.openxmlformats.org/officeDocument/2006/relationships/hyperlink" Target="https://www.sec.gov/Archives/edgar/data/1979887/000095017024124500/6k.htm" TargetMode="External"/><Relationship Id="rId210" Type="http://schemas.openxmlformats.org/officeDocument/2006/relationships/hyperlink" Target="https://www.sec.gov/Archives/edgar/data/1979887/000110465924083418/tm2316418d23_ex3-2.htm" TargetMode="External"/><Relationship Id="rId211" Type="http://schemas.openxmlformats.org/officeDocument/2006/relationships/hyperlink" Target="https://www.sec.gov/Archives/edgar/data/1979887/000110465924083418/tm2316418d23_ex4-3.htm" TargetMode="External"/><Relationship Id="rId212" Type="http://schemas.openxmlformats.org/officeDocument/2006/relationships/hyperlink" Target="https://www.sec.gov/Archives/edgar/data/1979887/000110465924069831/tm2316418d19_ex4-2.htm" TargetMode="External"/><Relationship Id="rId213" Type="http://schemas.openxmlformats.org/officeDocument/2006/relationships/hyperlink" Target="https://www.sec.gov/Archives/edgar/data/1979887/000095017025056976/ck0001979887-ex2_3.htm" TargetMode="External"/><Relationship Id="rId214" Type="http://schemas.openxmlformats.org/officeDocument/2006/relationships/hyperlink" Target="https://www.sec.gov/Archives/edgar/data/1979887/000095017025056976/ck0001979887-ex2_4.htm" TargetMode="External"/><Relationship Id="rId215" Type="http://schemas.openxmlformats.org/officeDocument/2006/relationships/hyperlink" Target="https://www.sec.gov/Archives/edgar/data/1979887/000110465924009133/tm2316418d16_ex10-1.htm" TargetMode="External"/><Relationship Id="rId216" Type="http://schemas.openxmlformats.org/officeDocument/2006/relationships/hyperlink" Target="https://www.sec.gov/Archives/edgar/data/1979887/000110465924009133/tm2316418d16_ex10-2.htm" TargetMode="External"/><Relationship Id="rId217" Type="http://schemas.openxmlformats.org/officeDocument/2006/relationships/hyperlink" Target="https://www.sec.gov/Archives/edgar/data/1979887/000095017025056976/ck0001979887-ex4_3.htm" TargetMode="External"/><Relationship Id="rId218" Type="http://schemas.openxmlformats.org/officeDocument/2006/relationships/hyperlink" Target="https://www.sec.gov/Archives/edgar/data/1979887/000110465924009133/tm2316418d16_ex10-3.htm" TargetMode="External"/><Relationship Id="rId219" Type="http://schemas.openxmlformats.org/officeDocument/2006/relationships/hyperlink" Target="https://www.sec.gov/Archives/edgar/data/1979887/000110465924069831/tm2316418d19_ex10-4.htm" TargetMode="External"/><Relationship Id="rId220" Type="http://schemas.openxmlformats.org/officeDocument/2006/relationships/hyperlink" Target="https://www.sec.gov/Archives/edgar/data/1979887/000110465924009133/tm2316418d16_ex10-5.htm" TargetMode="External"/><Relationship Id="rId221" Type="http://schemas.openxmlformats.org/officeDocument/2006/relationships/hyperlink" Target="https://www.sec.gov/Archives/edgar/data/1979887/000110465924083418/tm2316418d23_ex10-6.htm" TargetMode="External"/><Relationship Id="rId222" Type="http://schemas.openxmlformats.org/officeDocument/2006/relationships/hyperlink" Target="https://www.sec.gov/Archives/edgar/data/1979887/000110465924083418/tm2316418d23_ex10-7.htm" TargetMode="External"/><Relationship Id="rId223" Type="http://schemas.openxmlformats.org/officeDocument/2006/relationships/hyperlink" Target="https://www.sec.gov/Archives/edgar/data/1979887/000110465924009133/tm2316418d16_ex10-8.htm" TargetMode="External"/><Relationship Id="rId224" Type="http://schemas.openxmlformats.org/officeDocument/2006/relationships/hyperlink" Target="https://www.sec.gov/Archives/edgar/data/1979887/000110465924083418/tm2316418d23_ex10-9.htm" TargetMode="External"/><Relationship Id="rId225" Type="http://schemas.openxmlformats.org/officeDocument/2006/relationships/hyperlink" Target="https://www.sec.gov/Archives/edgar/data/1979887/000110465924083418/tm2316418d23_ex10-10.htm" TargetMode="External"/><Relationship Id="rId228" Type="http://schemas.openxmlformats.org/officeDocument/2006/relationships/hyperlink" Target="https://www.sec.gov/Archives/edgar/data/1979887/000119312526100221/ck0001979887-ex10_2.htm" TargetMode="External"/><Relationship Id="rId229" Type="http://schemas.openxmlformats.org/officeDocument/2006/relationships/hyperlink" Target="https://www.sec.gov/Archives/edgar/data/1979887/000119312526030640/ck0001979887-ex10_1.htm" TargetMode="External"/><Relationship Id="rId230" Type="http://schemas.openxmlformats.org/officeDocument/2006/relationships/hyperlink" Target="https://www.sec.gov/Archives/edgar/data/1979887/000095017025056976/ck0001979887-ex8_1.htm" TargetMode="External"/><Relationship Id="rId231" Type="http://schemas.openxmlformats.org/officeDocument/2006/relationships/hyperlink" Target="https://www.sec.gov/Archives/edgar/data/1979887/000110465924083418/tm2316418d23_ex99-1.htm" TargetMode="External"/><Relationship Id="rId232" Type="http://schemas.openxmlformats.org/officeDocument/2006/relationships/hyperlink" Target="https://www.sec.gov/Archives/edgar/data/1979887/000095017025056976/ck0001979887-ex11_2.htm" TargetMode="External"/><Relationship Id="rId233" Type="http://schemas.openxmlformats.org/officeDocument/2006/relationships/hyperlink" Target="https://www.sec.gov/Archives/edgar/data/1979887/000095017024124500/ck0001979887-ex16_1.htm" TargetMode="External"/><Relationship Id="rId234" Type="http://schemas.openxmlformats.org/officeDocument/2006/relationships/hyperlink" Target="https://www.sec.gov/Archives/edgar/data/1979887/000095017025056976/ck0001979887-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2026-04-27T16:01:25Z</dcterms:created>
  <dcterms:modified xsi:type="dcterms:W3CDTF">2026-04-27T16:01:25Z</dcterms:modified>
</cp:coreProperties>
</file>