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center"/>
              <w:rPr>
                <w:b/>
                <w:color w:val="0000FF"/>
              </w:rPr>
            </w:pPr>
            <w:r>
              <w:rPr>
                <w:b/>
                <w:color w:val="0000FF"/>
              </w:rPr>
              <w:t>XCHG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Depositary Shares ("ADSs"), each representing 40 Class A Ordinary Shares, par value US$0.00001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268,590,120.00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268,590,120.00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268,590,120.00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2,799,892,915 Shares outstanding as of June 29, 2026, comprised of (i) 2,519,892,915 Class A Ordinary Shares outstanding as of June 25, 2026 (according to the issuer's prospectus as filed with the Securities and Exchange Commission on June 29, 2026), and (ii) 280,000,000 Class A Ordinary Shares issued upon the closing of the registered direct transaction disclosed in that prospectus.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Holdings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268,590,120.00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268,590,120.00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268,590,120.00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GP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268,590,120.00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268,590,120.00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268,590,120.00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4,001,440.00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4,001,440.00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4,001,440.00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Group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4,066,320.00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4,066,320.00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4,066,320.00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4,066,320.00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4,066,320.00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4,066,320.00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Griffin</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272,656,440.00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272,656,440.00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272,656,440.00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XCHG Limited</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XCharge Europe GmbH, Heselstucken 18, Hamburg, Germany 22453</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2.</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held of record by Citadel CEMF Investments Ltd., a Cayman Islands limited company ("CCIL"), Citadel Securities and CRBU Holdings LLC, a Delaware limited liability company ("CRBH"). Such Shares may include other instruments exercisable for or convertible into Shares. Citadel Advisors is the portfolio manager for CCIL. CAH is the sole member of Citadel Advisors. CGP is the general partner of CAH. CALC4 is the non-member manager of Citadel Securities and CRBH. CSGP is the general partner of CALC4. Mr. Griffin is the President and Chief Executive Officer of CGP, and owns a controlling interest in CGP and CSGP.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830 Brickell Plaza, Miami, Florida 33131.</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Citizenship: </w:t>
            </w:r>
          </w:p>
          <w:p>
            <w:pPr>
              <w:pStyle w:val="TableContents"/>
              <w:bidi w:val="0"/>
              <w:spacing w:before="0" w:after="0"/>
              <w:jc w:val="left"/>
              <w:rPr/>
            </w:pPr>
            <w:r>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("ADSs"), each representing 40 Class A Ordinary Shares, par value US$0.00001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(f)</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(g)</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(h)</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(j)</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(k)</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Each of Citadel Advisors LLC, Citadel Advisors Holdings LP and Citadel GP LLC may be deemed to beneficially own 268,590,120 Shares. 2. Citadel Securities LLC may be deemed to beneficially own 4,001,440 Shares. 3. Each of Citadel Securities Group LP and Citadel Securities GP LLC may be deemed to beneficially own 4,066,320 Shares. 4. Mr. Griffin may be deemed to beneficially own 272,656,440 Shares.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each of Citadel Advisors LLC, Citadel Advisors Holdings LP and Citadel GP LLC may be deemed to beneficially own constitutes 9.6% of the Shares outstanding. 2. The number of Shares that Citadel Securities LLC may be deemed to beneficially own constitutes 0.1% of the Shares outstanding. 3. The number of Shares that each of Citadel Securities Group LP and Citadel Securities GP LLC may be deemed to beneficially own constitutes 0.1% of the Shares outstanding. 4. The number of Shares that Mr. Griffin may be deemed to beneficially own constitutes 9.7%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Each of Citadel Advisors LLC, Citadel Advisors Holdings LP and Citadel GP LLC: 268,590,120 2. Citadel Securities LLC: 4,001,440 3. Each of Citadel Securities Group LP and Citadel Securities GP LLC: 4,066,320 4. Mr. Griffin: 272,656,440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Each of Citadel Advisors LLC, Citadel Advisors Holdings LP and Citadel GP LLC: 268,590,120 2. Citadel Securities LLC: 4,001,440 3. Each of Citadel Securities Group LP and Citadel Securities GP LLC: 4,066,320 4. Mr. Griffin: 272,656,440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8.</w:t>
            </w:r>
          </w:p>
        </w:tc>
        <w:tc>
          <w:tcPr>
            <w:tcW w:w="89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9.</w:t>
            </w:r>
          </w:p>
        </w:tc>
        <w:tc>
          <w:tcPr>
            <w:tcW w:w="89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Citadel Advisors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Citadel Advisors Holdings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Citadel GP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Citadel Securities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Citadel Securities Group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Citadel Securities GP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Kenneth Griffin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jc w:val="left"/>
        <w:rPr/>
      </w:pPr>
      <w:bookmarkStart w:id="40" w:name="tm2621484d12_ex99-1.htm"/>
      <w:bookmarkStart w:id="41" w:name="kstm2621484d12_ex991"/>
      <w:bookmarkEnd w:id="40"/>
      <w:bookmarkEnd w:id="4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and each of such counterparts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tbl>
      <w:tblPr>
        <w:tblW w:w="6608" w:type="dxa"/>
        <w:jc w:val="left"/>
        <w:tblInd w:w="0" w:type="dxa"/>
        <w:tblLayout w:type="fixed"/>
        <w:tblCellMar>
          <w:top w:w="0" w:type="dxa"/>
          <w:left w:w="0" w:type="dxa"/>
          <w:bottom w:w="0" w:type="dxa"/>
          <w:right w:w="0" w:type="dxa"/>
        </w:tblCellMar>
      </w:tblPr>
      <w:tblGrid>
        <w:gridCol w:w="364"/>
        <w:gridCol w:w="2820"/>
        <w:gridCol w:w="75"/>
        <w:gridCol w:w="365"/>
        <w:gridCol w:w="2984"/>
      </w:tblGrid>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LLC</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ADVISORS LLC</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GROUP LP</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ADVISORS HOLDINGS LP</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GP LLC</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GP LLC</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KENNETH GRIFFIN</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attorney-in-fact</w:t>
            </w:r>
            <w:r>
              <w:rPr>
                <w:rFonts w:ascii="Times New Roman;Times;Serif" w:hAnsi="Times New Roman;Times;Serif"/>
                <w:position w:val="7"/>
                <w:sz w:val="16"/>
                <w:sz w:val="20"/>
                <w:u w:val="single"/>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u w:val="single"/>
              </w:rPr>
              <w:t>*</w:t>
            </w:r>
            <w:r>
              <w:rPr>
                <w:rFonts w:ascii="Times New Roman;Times;Serif" w:hAnsi="Times New Roman;Times;Serif"/>
                <w:sz w:val="20"/>
              </w:rPr>
              <w:t> </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2403</Words>
  <Characters>12594</Characters>
  <CharactersWithSpaces>14904</CharactersWithSpaces>
  <Paragraphs>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