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247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247640"/>
                    </a:xfrm>
                    <a:prstGeom prst="rect">
                      <a:avLst/>
                    </a:prstGeom>
                    <a:noFill/>
                  </pic:spPr>
                </pic:pic>
              </a:graphicData>
            </a:graphic>
          </wp:anchor>
        </w:drawing>
      </w:r>
    </w:p>
    <w:p>
      <w:pPr>
        <w:sectPr>
          <w:pgSz w:w="11900" w:h="16838" w:orient="portrait"/>
          <w:cols w:equalWidth="0" w:num="1">
            <w:col w:w="10940"/>
          </w:cols>
          <w:pgMar w:left="480" w:top="230" w:right="479" w:bottom="115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Patel Aatish</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60" w:type="dxa"/>
            <w:vAlign w:val="bottom"/>
            <w:tcBorders>
              <w:top w:val="single" w:sz="8" w:color="0000EE"/>
              <w:bottom w:val="single" w:sz="8" w:color="9A9A9A"/>
            </w:tcBorders>
          </w:tcPr>
          <w:p>
            <w:pPr>
              <w:spacing w:after="0"/>
              <w:rPr>
                <w:sz w:val="17"/>
                <w:szCs w:val="17"/>
                <w:color w:val="auto"/>
              </w:rPr>
            </w:pPr>
          </w:p>
        </w:tc>
        <w:tc>
          <w:tcPr>
            <w:tcW w:w="19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XCHG Ltd</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XCH</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15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XCHARGE ENERGY USA INC.</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19121 MARKETPLACE AVE, BLDG</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2 STE 2-145</w:t>
      </w:r>
    </w:p>
    <w:p>
      <w:pPr>
        <w:spacing w:after="0" w:line="31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spacing w:after="0"/>
        <w:tabs>
          <w:tab w:leader="none" w:pos="1140" w:val="left"/>
          <w:tab w:leader="none" w:pos="2180" w:val="left"/>
        </w:tabs>
        <w:rPr>
          <w:sz w:val="20"/>
          <w:szCs w:val="20"/>
          <w:color w:val="auto"/>
        </w:rPr>
      </w:pPr>
      <w:r>
        <w:rPr>
          <w:rFonts w:ascii="Times New Roman" w:cs="Times New Roman" w:eastAsia="Times New Roman" w:hAnsi="Times New Roman"/>
          <w:sz w:val="20"/>
          <w:szCs w:val="20"/>
          <w:color w:val="0000FF"/>
        </w:rPr>
        <w:t>KYLE</w:t>
      </w:r>
      <w:r>
        <w:rPr>
          <w:sz w:val="20"/>
          <w:szCs w:val="20"/>
          <w:color w:val="auto"/>
        </w:rPr>
        <w:tab/>
      </w:r>
      <w:r>
        <w:rPr>
          <w:rFonts w:ascii="Times New Roman" w:cs="Times New Roman" w:eastAsia="Times New Roman" w:hAnsi="Times New Roman"/>
          <w:sz w:val="20"/>
          <w:szCs w:val="20"/>
          <w:color w:val="0000FF"/>
        </w:rPr>
        <w:t>TX</w:t>
      </w:r>
      <w:r>
        <w:rPr>
          <w:sz w:val="20"/>
          <w:szCs w:val="20"/>
          <w:color w:val="auto"/>
        </w:rPr>
        <w:tab/>
      </w:r>
      <w:r>
        <w:rPr>
          <w:rFonts w:ascii="Times New Roman" w:cs="Times New Roman" w:eastAsia="Times New Roman" w:hAnsi="Times New Roman"/>
          <w:sz w:val="18"/>
          <w:szCs w:val="18"/>
          <w:color w:val="0000FF"/>
        </w:rPr>
        <w:t>78640</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203"/>
        <w:spacing w:after="0"/>
        <w:rPr>
          <w:sz w:val="20"/>
          <w:szCs w:val="20"/>
          <w:color w:val="auto"/>
        </w:rPr>
      </w:pPr>
      <w:r>
        <w:rPr>
          <w:rFonts w:ascii="Times New Roman" w:cs="Times New Roman" w:eastAsia="Times New Roman" w:hAnsi="Times New Roman"/>
          <w:sz w:val="20"/>
          <w:szCs w:val="20"/>
          <w:color w:val="0000FF"/>
        </w:rPr>
        <w:t>President</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150" w:gutter="0" w:footer="0" w:header="0"/>
          <w:type w:val="continuous"/>
        </w:sectPr>
      </w:pPr>
    </w:p>
    <w:p>
      <w:pPr>
        <w:spacing w:after="0" w:line="17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26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Class A Ordinary Shares</w:t>
            </w: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660" w:type="dxa"/>
            <w:vAlign w:val="bottom"/>
          </w:tcPr>
          <w:p>
            <w:pPr>
              <w:ind w:left="760"/>
              <w:spacing w:after="0"/>
              <w:rPr>
                <w:sz w:val="20"/>
                <w:szCs w:val="20"/>
                <w:color w:val="auto"/>
              </w:rPr>
            </w:pPr>
            <w:r>
              <w:rPr>
                <w:rFonts w:ascii="Times New Roman" w:cs="Times New Roman" w:eastAsia="Times New Roman" w:hAnsi="Times New Roman"/>
                <w:sz w:val="20"/>
                <w:szCs w:val="20"/>
                <w:color w:val="0000FF"/>
              </w:rPr>
              <w:t>6,232,800</w:t>
            </w:r>
          </w:p>
        </w:tc>
        <w:tc>
          <w:tcPr>
            <w:tcW w:w="1220" w:type="dxa"/>
            <w:vAlign w:val="bottom"/>
          </w:tcPr>
          <w:p>
            <w:pPr>
              <w:ind w:left="1040"/>
              <w:spacing w:after="0"/>
              <w:rPr>
                <w:sz w:val="20"/>
                <w:szCs w:val="20"/>
                <w:color w:val="auto"/>
              </w:rPr>
            </w:pPr>
            <w:r>
              <w:rPr>
                <w:rFonts w:ascii="Times New Roman" w:cs="Times New Roman" w:eastAsia="Times New Roman" w:hAnsi="Times New Roman"/>
                <w:sz w:val="20"/>
                <w:szCs w:val="20"/>
                <w:color w:val="0000FF"/>
              </w:rPr>
              <w:t>D</w:t>
            </w:r>
          </w:p>
        </w:tc>
        <w:tc>
          <w:tcPr>
            <w:tcW w:w="10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660" w:type="dxa"/>
            <w:vAlign w:val="bottom"/>
            <w:tcBorders>
              <w:bottom w:val="single" w:sz="8" w:color="2C2C2C"/>
            </w:tcBorders>
          </w:tcPr>
          <w:p>
            <w:pPr>
              <w:spacing w:after="0"/>
              <w:rPr>
                <w:sz w:val="9"/>
                <w:szCs w:val="9"/>
                <w:color w:val="auto"/>
              </w:rPr>
            </w:pPr>
          </w:p>
        </w:tc>
        <w:tc>
          <w:tcPr>
            <w:tcW w:w="160" w:type="dxa"/>
            <w:vAlign w:val="bottom"/>
            <w:tcBorders>
              <w:bottom w:val="single" w:sz="8" w:color="2C2C2C"/>
            </w:tcBorders>
          </w:tcPr>
          <w:p>
            <w:pPr>
              <w:spacing w:after="0"/>
              <w:rPr>
                <w:sz w:val="9"/>
                <w:szCs w:val="9"/>
                <w:color w:val="auto"/>
              </w:rPr>
            </w:pPr>
          </w:p>
        </w:tc>
        <w:tc>
          <w:tcPr>
            <w:tcW w:w="5760" w:type="dxa"/>
            <w:vAlign w:val="bottom"/>
            <w:tcBorders>
              <w:bottom w:val="single" w:sz="8" w:color="2C2C2C"/>
            </w:tcBorders>
            <w:gridSpan w:val="5"/>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14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5760" w:type="dxa"/>
            <w:vAlign w:val="bottom"/>
            <w:tcBorders>
              <w:top w:val="single" w:sz="8" w:color="2C2C2C"/>
            </w:tcBorders>
            <w:gridSpan w:val="5"/>
          </w:tcPr>
          <w:p>
            <w:pPr>
              <w:ind w:left="3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660" w:type="dxa"/>
            <w:vAlign w:val="bottom"/>
          </w:tcPr>
          <w:p>
            <w:pPr>
              <w:spacing w:after="0"/>
              <w:rPr>
                <w:sz w:val="23"/>
                <w:szCs w:val="23"/>
                <w:color w:val="auto"/>
              </w:rPr>
            </w:pPr>
          </w:p>
        </w:tc>
        <w:tc>
          <w:tcPr>
            <w:tcW w:w="5920" w:type="dxa"/>
            <w:vAlign w:val="bottom"/>
            <w:gridSpan w:val="6"/>
          </w:tcPr>
          <w:p>
            <w:pPr>
              <w:ind w:left="100"/>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8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w:t>
            </w:r>
          </w:p>
        </w:tc>
        <w:tc>
          <w:tcPr>
            <w:tcW w:w="1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8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2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6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4)</w:t>
            </w:r>
          </w:p>
        </w:tc>
        <w:tc>
          <w:tcPr>
            <w:tcW w:w="1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8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6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122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2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22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Amount or</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66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12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Number of</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660" w:type="dxa"/>
            <w:vAlign w:val="bottom"/>
            <w:vMerge w:val="continue"/>
          </w:tcPr>
          <w:p>
            <w:pPr>
              <w:spacing w:after="0"/>
              <w:rPr>
                <w:sz w:val="17"/>
                <w:szCs w:val="17"/>
                <w:color w:val="auto"/>
              </w:rPr>
            </w:pPr>
          </w:p>
        </w:tc>
        <w:tc>
          <w:tcPr>
            <w:tcW w:w="1220" w:type="dxa"/>
            <w:vAlign w:val="bottom"/>
          </w:tcPr>
          <w:p>
            <w:pPr>
              <w:ind w:left="12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6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Restricted Stock Units</w:t>
            </w:r>
          </w:p>
        </w:tc>
        <w:tc>
          <w:tcPr>
            <w:tcW w:w="114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(1)</w:t>
            </w:r>
          </w:p>
        </w:tc>
        <w:tc>
          <w:tcPr>
            <w:tcW w:w="16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Ordinary</w:t>
            </w:r>
          </w:p>
        </w:tc>
        <w:tc>
          <w:tcPr>
            <w:tcW w:w="122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0000FF"/>
                <w:w w:val="98"/>
              </w:rPr>
              <w:t>19,737,120</w:t>
            </w:r>
            <w:r>
              <w:rPr>
                <w:rFonts w:ascii="Times New Roman" w:cs="Times New Roman" w:eastAsia="Times New Roman" w:hAnsi="Times New Roman"/>
                <w:sz w:val="25"/>
                <w:szCs w:val="25"/>
                <w:color w:val="008000"/>
                <w:w w:val="98"/>
                <w:vertAlign w:val="superscript"/>
              </w:rPr>
              <w:t>(1)</w:t>
            </w:r>
          </w:p>
        </w:tc>
        <w:tc>
          <w:tcPr>
            <w:tcW w:w="100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8000"/>
              </w:rPr>
              <w:t>(1)</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60" w:type="dxa"/>
            <w:vAlign w:val="bottom"/>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Shares</w:t>
            </w:r>
          </w:p>
        </w:tc>
        <w:tc>
          <w:tcPr>
            <w:tcW w:w="12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0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6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American Depositary Shares</w:t>
            </w:r>
          </w:p>
        </w:tc>
        <w:tc>
          <w:tcPr>
            <w:tcW w:w="114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8000"/>
                <w:w w:val="92"/>
              </w:rPr>
              <w:t>(2)</w:t>
            </w:r>
          </w:p>
        </w:tc>
        <w:tc>
          <w:tcPr>
            <w:tcW w:w="16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Class A Ordinary</w:t>
            </w:r>
          </w:p>
        </w:tc>
        <w:tc>
          <w:tcPr>
            <w:tcW w:w="122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0000FF"/>
                <w:w w:val="98"/>
              </w:rPr>
              <w:t>11,342,360</w:t>
            </w:r>
            <w:r>
              <w:rPr>
                <w:rFonts w:ascii="Times New Roman" w:cs="Times New Roman" w:eastAsia="Times New Roman" w:hAnsi="Times New Roman"/>
                <w:sz w:val="25"/>
                <w:szCs w:val="25"/>
                <w:color w:val="008000"/>
                <w:w w:val="98"/>
                <w:vertAlign w:val="superscript"/>
              </w:rPr>
              <w:t>(2)</w:t>
            </w:r>
          </w:p>
        </w:tc>
        <w:tc>
          <w:tcPr>
            <w:tcW w:w="1000" w:type="dxa"/>
            <w:vAlign w:val="bottom"/>
            <w:vMerge w:val="restart"/>
          </w:tcPr>
          <w:p>
            <w:pPr>
              <w:ind w:left="440"/>
              <w:spacing w:after="0"/>
              <w:rPr>
                <w:sz w:val="20"/>
                <w:szCs w:val="20"/>
                <w:color w:val="auto"/>
              </w:rPr>
            </w:pPr>
            <w:r>
              <w:rPr>
                <w:rFonts w:ascii="Times New Roman" w:cs="Times New Roman" w:eastAsia="Times New Roman" w:hAnsi="Times New Roman"/>
                <w:sz w:val="13"/>
                <w:szCs w:val="13"/>
                <w:color w:val="008000"/>
              </w:rPr>
              <w:t>(2)</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660" w:type="dxa"/>
            <w:vAlign w:val="bottom"/>
            <w:vMerge w:val="continue"/>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900" w:type="dxa"/>
            <w:vAlign w:val="bottom"/>
            <w:vMerge w:val="continue"/>
          </w:tcPr>
          <w:p>
            <w:pPr>
              <w:spacing w:after="0"/>
              <w:rPr>
                <w:sz w:val="17"/>
                <w:szCs w:val="17"/>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Shares</w:t>
            </w:r>
          </w:p>
        </w:tc>
        <w:tc>
          <w:tcPr>
            <w:tcW w:w="122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6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Restricted Stock Units ("RSUs") will vest on the following schedule, subject to continued service to the Issuer: 4,155,160 RSUs will vest on July 1, 2026; 5,194,000 RSUs will vest on each of September 10, 2026 and September 10, 2027; and 5,193,960 RSUs will vest on September 10, 2028. Each RSU represents the contingent right to receive, following vesting, one of the Issuer's Class A Ordinary Shares, par value US$0.00001 per share (each, a "Class A Ordinary Share"), or the equivalent value of one Class A Ordinary Share in cash. In lieu of Class A Ordinary Shares, the RSUs may be settled in an equivalent number of ADSs.</w:t>
      </w:r>
    </w:p>
    <w:p>
      <w:pPr>
        <w:spacing w:after="0" w:line="33" w:lineRule="exact"/>
        <w:rPr>
          <w:rFonts w:ascii="Times New Roman" w:cs="Times New Roman" w:eastAsia="Times New Roman" w:hAnsi="Times New Roman"/>
          <w:sz w:val="15"/>
          <w:szCs w:val="15"/>
          <w:color w:val="008000"/>
        </w:rPr>
      </w:pPr>
    </w:p>
    <w:p>
      <w:pPr>
        <w:ind w:left="40" w:right="2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reporting person holds 283,559 American Depositary Shares ("ADSs"), each representing 40 Class A Ordinary Shares. Each ADS is convertible at any time, at the holder's election, into 40 Class A Ordinary Shares. The ADSs have no expiration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Ran Li, attorney-in-fact</w:t>
            </w:r>
          </w:p>
        </w:tc>
        <w:tc>
          <w:tcPr>
            <w:tcW w:w="10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4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4"/>
              </w:rPr>
              <w:t>for Aatish V. Patel</w:t>
            </w:r>
          </w:p>
        </w:tc>
        <w:tc>
          <w:tcPr>
            <w:tcW w:w="740" w:type="dxa"/>
            <w:vAlign w:val="bottom"/>
            <w:gridSpan w:val="2"/>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440" w:type="dxa"/>
            <w:vAlign w:val="bottom"/>
            <w:tcBorders>
              <w:bottom w:val="single" w:sz="8" w:color="auto"/>
            </w:tcBorders>
            <w:vMerge w:val="continue"/>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15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SECTION 16 REPORTING PURPOSES</w:t>
      </w:r>
    </w:p>
    <w:p>
      <w:pPr>
        <w:spacing w:after="0" w:line="230" w:lineRule="exact"/>
        <w:rPr>
          <w:sz w:val="20"/>
          <w:szCs w:val="20"/>
          <w:color w:val="auto"/>
        </w:rPr>
      </w:pPr>
    </w:p>
    <w:p>
      <w:pPr>
        <w:ind w:right="20" w:firstLine="720"/>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Joel Adalberto Gallo, Ran Li, Xiaoyu Wang, John Owen, and Ryan Adams as the undersigned's true and lawful attorney-in-fact to:</w:t>
      </w:r>
    </w:p>
    <w:p>
      <w:pPr>
        <w:spacing w:after="0" w:line="180" w:lineRule="exact"/>
        <w:rPr>
          <w:sz w:val="20"/>
          <w:szCs w:val="20"/>
          <w:color w:val="auto"/>
        </w:rPr>
      </w:pPr>
    </w:p>
    <w:p>
      <w:pPr>
        <w:jc w:val="both"/>
        <w:ind w:left="1080" w:hanging="360"/>
        <w:spacing w:after="0" w:line="261" w:lineRule="auto"/>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XCHG Limited (the "Company"), Forms 3, 4, and 5 in accordance with Section 16(a) of the Securities Exchange Act of 1934 (the “Exchange Act”) and the rules thereunder, and any other forms or reports the undersigned may be required to file in connection with the undersigned's ownership, acquisition, or disposition of securities of the Company;</w:t>
      </w:r>
    </w:p>
    <w:p>
      <w:pPr>
        <w:spacing w:after="0" w:line="200" w:lineRule="exact"/>
        <w:rPr>
          <w:rFonts w:ascii="Times New Roman" w:cs="Times New Roman" w:eastAsia="Times New Roman" w:hAnsi="Times New Roman"/>
          <w:sz w:val="20"/>
          <w:szCs w:val="20"/>
          <w:color w:val="auto"/>
        </w:rPr>
      </w:pPr>
    </w:p>
    <w:p>
      <w:pPr>
        <w:jc w:val="both"/>
        <w:ind w:left="1080" w:hanging="360"/>
        <w:spacing w:after="0" w:line="261" w:lineRule="auto"/>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any amendment or amendments thereto, or other form or report, and timely file such form or report with the United States Securities and Exchange Commission and any stock exchange or similar authority; and</w:t>
      </w:r>
    </w:p>
    <w:p>
      <w:pPr>
        <w:spacing w:after="0" w:line="200" w:lineRule="exact"/>
        <w:rPr>
          <w:rFonts w:ascii="Times New Roman" w:cs="Times New Roman" w:eastAsia="Times New Roman" w:hAnsi="Times New Roman"/>
          <w:sz w:val="20"/>
          <w:szCs w:val="20"/>
          <w:color w:val="auto"/>
        </w:rPr>
      </w:pPr>
    </w:p>
    <w:p>
      <w:pPr>
        <w:jc w:val="both"/>
        <w:ind w:left="1080" w:hanging="360"/>
        <w:spacing w:after="0" w:line="258" w:lineRule="auto"/>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5" w:lineRule="exact"/>
        <w:rPr>
          <w:sz w:val="20"/>
          <w:szCs w:val="20"/>
          <w:color w:val="auto"/>
        </w:rPr>
      </w:pPr>
    </w:p>
    <w:p>
      <w:pPr>
        <w:jc w:val="both"/>
        <w:ind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Exchange Act.</w:t>
      </w:r>
    </w:p>
    <w:p>
      <w:pPr>
        <w:spacing w:after="0" w:line="210" w:lineRule="exact"/>
        <w:rPr>
          <w:sz w:val="20"/>
          <w:szCs w:val="20"/>
          <w:color w:val="auto"/>
        </w:rPr>
      </w:pPr>
    </w:p>
    <w:p>
      <w:pPr>
        <w:jc w:val="both"/>
        <w:ind w:firstLine="720"/>
        <w:spacing w:after="0" w:line="258"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 The undersigned hereby revokes any and all previous Powers of Attorney that have been granted by the undersigned in connection with the undersigned’s reporting obligations under Section 16 of the Exchange Act with respect to the undersigned’s holdings of and transactions in securities issued by the Company.</w:t>
      </w:r>
    </w:p>
    <w:p>
      <w:pPr>
        <w:spacing w:after="0" w:line="20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March 13, 2026.</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Aatish V. Patel</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Aatish V.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27825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782570" cy="952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President</w:t>
      </w:r>
    </w:p>
    <w:sectPr>
      <w:pgSz w:w="11900" w:h="16838" w:orient="portrait"/>
      <w:cols w:equalWidth="0" w:num="1">
        <w:col w:w="10940"/>
      </w:cols>
      <w:pgMar w:left="480" w:top="10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120066" TargetMode="External"/><Relationship Id="rId11" Type="http://schemas.openxmlformats.org/officeDocument/2006/relationships/hyperlink" Target="http://www.sec.gov/cgi-bin/browse-edgar?action=getcompany&amp;CIK=00019798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2026-03-18T07:07:21Z</dcterms:created>
  <dcterms:modified xsi:type="dcterms:W3CDTF">2026-03-18T07:07:21Z</dcterms:modified>
</cp:coreProperties>
</file>