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Gallo Joel Adalberto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XCHARGE EUROPE GMBH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HESELSTUCKEN 18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HAMBURG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XCHG Ltd</w:t>
              </w:r>
            </w:hyperlink>
            <w:r>
              <w:rPr/>
              <w:t xml:space="preserve"> [ </w:t>
            </w:r>
            <w:r>
              <w:rPr>
                <w:rFonts w:ascii="Times;serif" w:hAnsi="Times;serif"/>
                <w:color w:val="0000FF"/>
                <w:sz w:val="24"/>
                <w:shd w:fill="FFFFFF" w:val="clear"/>
              </w:rPr>
              <w:t>XCH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2"/>
        <w:gridCol w:w="903"/>
        <w:gridCol w:w="774"/>
        <w:gridCol w:w="600"/>
        <w:gridCol w:w="343"/>
        <w:gridCol w:w="1184"/>
        <w:gridCol w:w="439"/>
        <w:gridCol w:w="602"/>
        <w:gridCol w:w="1261"/>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1,000,000</w:t>
            </w:r>
            <w:r>
              <w:rPr>
                <w:rFonts w:ascii="Times;serif" w:hAnsi="Times;serif"/>
                <w:color w:val="008000"/>
                <w:position w:val="7"/>
                <w:sz w:val="16"/>
                <w:sz w:val="20"/>
                <w:shd w:fill="FFFFFF" w:val="clear"/>
              </w:rPr>
              <w:t>(1)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66"/>
        <w:gridCol w:w="906"/>
        <w:gridCol w:w="801"/>
        <w:gridCol w:w="861"/>
        <w:gridCol w:w="1101"/>
        <w:gridCol w:w="801"/>
        <w:gridCol w:w="1026"/>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3,000,000</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vesting of Restricted Stock Units ("RSUs") on August 4, 2026. The reporting person holds 3,000,000 additional RSUs that will vest in three equal annual installments beginning on August 4, 2027, subject to continued service to the Issuer. Each RSU represents the contingent right to receive, following vesting, one Class A Ordinary Share of the Issuer, par value US$0.00001 per share (each, a "Class A Ordinary Share"), or the equivalent value of one Class A Ordinary Share in cash. In lieu of Class A Ordinary Shares, the RSUs may be settled in an equivalent number of American Depositary Shares, each representing 40 Class A Ordinary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given by Mr. Gallo was previously filed with the U.S. Securities and Exchange Commission on March 18, 2026, as an exhibit to a statement on Form 3 filed by Mr. Gallo with respect to XCHG Limited and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Ran Li, attorney-in-fact for Joel Adalberto Gallo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827" TargetMode="External"/><Relationship Id="rId5" Type="http://schemas.openxmlformats.org/officeDocument/2006/relationships/hyperlink" Target="http://www.sec.gov/cgi-bin/browse-edgar?action=getcompany&amp;CIK=00019798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742</Words>
  <Characters>3985</Characters>
  <CharactersWithSpaces>4645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