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6k1h2026.htm"/>
      <w:bookmarkStart w:id="1" w:name="ks6k1h2026"/>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 UNDER</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September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Commission File Number: 001-42208</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XCHG Limited</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XCharge Europe GmbH, Heselstücken 18,</w:t>
      </w:r>
    </w:p>
    <w:p>
      <w:pPr>
        <w:pStyle w:val="TextBody"/>
        <w:bidi w:val="0"/>
        <w:jc w:val="center"/>
        <w:rPr>
          <w:rFonts w:ascii="Times New Roman" w:hAnsi="Times New Roman"/>
          <w:b/>
          <w:color w:val="000000"/>
          <w:sz w:val="20"/>
        </w:rPr>
      </w:pPr>
      <w:r>
        <w:rPr>
          <w:rFonts w:ascii="Times New Roman" w:hAnsi="Times New Roman"/>
          <w:b/>
          <w:color w:val="000000"/>
          <w:sz w:val="20"/>
        </w:rPr>
        <w:t>22453 Hamburg, Germany</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XCharge Energy USA Inc, 19121 Marketplace Avenue,</w:t>
      </w:r>
    </w:p>
    <w:p>
      <w:pPr>
        <w:pStyle w:val="TextBody"/>
        <w:bidi w:val="0"/>
        <w:jc w:val="center"/>
        <w:rPr>
          <w:rFonts w:ascii="Times New Roman" w:hAnsi="Times New Roman"/>
          <w:b/>
          <w:color w:val="000000"/>
          <w:sz w:val="20"/>
        </w:rPr>
      </w:pPr>
      <w:r>
        <w:rPr>
          <w:rFonts w:ascii="Times New Roman" w:hAnsi="Times New Roman"/>
          <w:b/>
          <w:color w:val="000000"/>
          <w:sz w:val="20"/>
        </w:rPr>
        <w:t>Building 2-Suite 2-145, Kyle, TX 78640, United States</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pBdr>
          <w:top w:val="single" w:sz="6" w:space="1" w:color="000000"/>
        </w:pBdr>
        <w:bidi w:val="0"/>
        <w:spacing w:before="240" w:after="283"/>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Form 20-F or Form 40-F.</w:t>
      </w:r>
    </w:p>
    <w:p>
      <w:pPr>
        <w:pStyle w:val="TextBody"/>
        <w:bidi w:val="0"/>
        <w:jc w:val="left"/>
        <w:rPr/>
      </w:pPr>
      <w:r>
        <w:rPr/>
        <w:t> </w:t>
      </w:r>
    </w:p>
    <w:tbl>
      <w:tblPr>
        <w:tblW w:w="2694" w:type="dxa"/>
        <w:jc w:val="left"/>
        <w:tblInd w:w="0" w:type="dxa"/>
        <w:tblLayout w:type="fixed"/>
        <w:tblCellMar>
          <w:top w:w="28" w:type="dxa"/>
          <w:left w:w="28" w:type="dxa"/>
          <w:bottom w:w="28" w:type="dxa"/>
          <w:right w:w="28" w:type="dxa"/>
        </w:tblCellMar>
      </w:tblPr>
      <w:tblGrid>
        <w:gridCol w:w="161"/>
        <w:gridCol w:w="1171"/>
        <w:gridCol w:w="146"/>
        <w:gridCol w:w="1216"/>
      </w:tblGrid>
      <w:tr>
        <w:trPr/>
        <w:tc>
          <w:tcPr>
            <w:tcW w:w="16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20-F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40-F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this Report on Form 6-K, including Exhibit 99.1 hereto, is hereby incorporated by reference into the Company’s registration statement on Form F-3 (File No. 333-292266) and S-8 (Registration No. 333-294184).</w:t>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rFonts w:ascii="Times New Roman" w:hAnsi="Times New Roman"/>
          <w:b/>
          <w:color w:val="000000"/>
          <w:sz w:val="20"/>
        </w:rPr>
      </w:pPr>
      <w:r>
        <w:rPr>
          <w:rFonts w:ascii="Times New Roman" w:hAnsi="Times New Roman"/>
          <w:b/>
          <w:color w:val="000000"/>
          <w:sz w:val="20"/>
        </w:rPr>
        <w:t>Exhibit No. Description</w:t>
      </w:r>
    </w:p>
    <w:p>
      <w:pPr>
        <w:pStyle w:val="TextBody"/>
        <w:bidi w:val="0"/>
        <w:jc w:val="left"/>
        <w:rPr/>
      </w:pPr>
      <w:r>
        <w:rPr/>
        <w:t> </w:t>
      </w:r>
    </w:p>
    <w:p>
      <w:pPr>
        <w:pStyle w:val="TextBody"/>
        <w:bidi w:val="0"/>
        <w:jc w:val="left"/>
        <w:rPr/>
      </w:pPr>
      <w:r>
        <w:rPr>
          <w:rFonts w:ascii="Times New Roman" w:hAnsi="Times New Roman"/>
          <w:color w:val="000000"/>
          <w:sz w:val="20"/>
        </w:rPr>
        <w:t xml:space="preserve">99.1 </w:t>
      </w:r>
      <w:hyperlink w:anchor="ck0001979887-ex99_1.htm">
        <w:r>
          <w:rPr>
            <w:rStyle w:val="InternetLink"/>
            <w:rFonts w:ascii="Times New Roman" w:hAnsi="Times New Roman"/>
            <w:color w:val="0000FF"/>
            <w:sz w:val="20"/>
            <w:u w:val="single"/>
          </w:rPr>
          <w:t>Press Release</w:t>
        </w:r>
      </w:hyperlink>
    </w:p>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077" w:type="dxa"/>
        <w:jc w:val="left"/>
        <w:tblInd w:w="0" w:type="dxa"/>
        <w:tblLayout w:type="fixed"/>
        <w:tblCellMar>
          <w:top w:w="28" w:type="dxa"/>
          <w:left w:w="28" w:type="dxa"/>
          <w:bottom w:w="28" w:type="dxa"/>
          <w:right w:w="28" w:type="dxa"/>
        </w:tblCellMar>
      </w:tblPr>
      <w:tblGrid>
        <w:gridCol w:w="2221"/>
        <w:gridCol w:w="146"/>
        <w:gridCol w:w="146"/>
        <w:gridCol w:w="146"/>
        <w:gridCol w:w="406"/>
        <w:gridCol w:w="146"/>
        <w:gridCol w:w="2866"/>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XCHG Limited</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0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Yifei Hou</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Yifei Hou</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Co-Chief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ck0001979887-ex99_1.htm"/>
      <w:bookmarkStart w:id="3" w:name="ksck0001979887ex99_1"/>
      <w:bookmarkEnd w:id="2"/>
      <w:bookmarkEnd w:id="3"/>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99.1</w:t>
      </w:r>
    </w:p>
    <w:p>
      <w:pPr>
        <w:pStyle w:val="TextBody"/>
        <w:bidi w:val="0"/>
        <w:jc w:val="center"/>
        <w:rPr>
          <w:rFonts w:ascii="Times New Roman" w:hAnsi="Times New Roman"/>
          <w:b/>
          <w:color w:val="000000"/>
          <w:sz w:val="28"/>
        </w:rPr>
      </w:pPr>
      <w:r>
        <w:rPr>
          <w:rFonts w:ascii="Times New Roman" w:hAnsi="Times New Roman"/>
          <w:b/>
          <w:color w:val="000000"/>
          <w:sz w:val="28"/>
        </w:rPr>
        <w:t>XCharge Reports First Half 2026 Unaudited Financial Results</w:t>
      </w:r>
    </w:p>
    <w:p>
      <w:pPr>
        <w:pStyle w:val="TextBody"/>
        <w:bidi w:val="0"/>
        <w:jc w:val="left"/>
        <w:rPr/>
      </w:pPr>
      <w:r>
        <w:rPr/>
        <w:t> </w:t>
      </w:r>
    </w:p>
    <w:p>
      <w:pPr>
        <w:pStyle w:val="TextBody"/>
        <w:bidi w:val="0"/>
        <w:spacing w:before="240" w:after="283"/>
        <w:jc w:val="left"/>
        <w:rPr>
          <w:rFonts w:ascii="Times New Roman" w:hAnsi="Times New Roman"/>
          <w:sz w:val="22"/>
        </w:rPr>
      </w:pPr>
      <w:r>
        <w:rPr>
          <w:rFonts w:ascii="Times New Roman" w:hAnsi="Times New Roman"/>
          <w:b/>
          <w:color w:val="000000"/>
          <w:sz w:val="22"/>
        </w:rPr>
        <w:t xml:space="preserve">HAMBURG, Germany and AUSTIN, Texas, September 18, 2026 (GLOBE NEWSWIRE) — </w:t>
      </w:r>
      <w:r>
        <w:rPr>
          <w:rFonts w:ascii="Times New Roman" w:hAnsi="Times New Roman"/>
          <w:color w:val="000000"/>
          <w:sz w:val="22"/>
        </w:rPr>
        <w:t>XCHG Limited (“XCharge” or the “Company”) (Nasdaq: XCH), a global provider in high-power EV charging solutions, today reported its unaudited financial results for the six months ended June 30, 2026.</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Mr. Yifei (“Simon”) Hou, Co-Chief Executive Officer of XCharge, commented, “While customer procurement timing and changes in project schedules affected the pace of revenue and deliveries in the first half of 2026, we remained focused on executing our long-term growth strategy. We made important commercial and product progress during the period. Our long-term partnership with EnBW marked a significant commercial milestone in Europe, while the introduction of the new-generation C7 and the launch of GridOne expanded our ability to address customers’ evolving charging and energy management needs. Looking ahead, we expect business activity to accelerate meaningfully in the second half of the year as we fulfill scheduled customer deliveries and advance existing customer programs and projects. We believe the commercial progress we have made, together with our expanded product portfolio, positions us well to capture the opportunities ahead.”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Mr. Joel A. Gallo, Chief Financial Officer, added, “The financing completed in June provided additional liquidity to support our operations. As we prepare for higher anticipated activity in the second half, we will continue to maintain disciplined cost and working capital management, improve operational efficiency, and allocate resources to customer programs and areas with the clearest commercial potential. Our priority is to support renewed revenue growth while continuing to improve the underlying financial performance of the business.”</w:t>
      </w:r>
    </w:p>
    <w:p>
      <w:pPr>
        <w:pStyle w:val="TextBody"/>
        <w:bidi w:val="0"/>
        <w:jc w:val="left"/>
        <w:rPr/>
      </w:pPr>
      <w:r>
        <w:rPr/>
        <w:t> </w:t>
      </w:r>
    </w:p>
    <w:tbl>
      <w:tblPr>
        <w:tblW w:w="8012" w:type="dxa"/>
        <w:jc w:val="left"/>
        <w:tblInd w:w="0" w:type="dxa"/>
        <w:tblLayout w:type="fixed"/>
        <w:tblCellMar>
          <w:top w:w="28" w:type="dxa"/>
          <w:left w:w="28" w:type="dxa"/>
          <w:bottom w:w="28" w:type="dxa"/>
          <w:right w:w="28" w:type="dxa"/>
        </w:tblCellMar>
      </w:tblPr>
      <w:tblGrid>
        <w:gridCol w:w="5191"/>
        <w:gridCol w:w="211"/>
        <w:gridCol w:w="153"/>
        <w:gridCol w:w="773"/>
        <w:gridCol w:w="284"/>
        <w:gridCol w:w="221"/>
        <w:gridCol w:w="153"/>
        <w:gridCol w:w="710"/>
        <w:gridCol w:w="316"/>
      </w:tblGrid>
      <w:tr>
        <w:trPr/>
        <w:tc>
          <w:tcPr>
            <w:tcW w:w="5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10,271</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(11,184</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(11,126</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Class A and Class B ordinary share–Basic and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(0.004</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Heading1"/>
        <w:bidi w:val="0"/>
        <w:spacing w:before="240" w:after="283"/>
        <w:jc w:val="left"/>
        <w:rPr>
          <w:rFonts w:ascii="Times New Roman" w:hAnsi="Times New Roman"/>
          <w:color w:val="000000"/>
          <w:sz w:val="22"/>
          <w:u w:val="single"/>
        </w:rPr>
      </w:pPr>
      <w:r>
        <w:rPr>
          <w:rFonts w:ascii="Times New Roman" w:hAnsi="Times New Roman"/>
          <w:color w:val="000000"/>
          <w:sz w:val="22"/>
          <w:u w:val="single"/>
        </w:rPr>
        <w:t>Outlook</w:t>
      </w:r>
    </w:p>
    <w:p>
      <w:pPr>
        <w:pStyle w:val="TextBody"/>
        <w:bidi w:val="0"/>
        <w:jc w:val="left"/>
        <w:rPr/>
      </w:pPr>
      <w:r>
        <w:rPr/>
        <w:t>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The Company expects business performance to improve significantly in the second half of 2026, driven primarily by scheduled deliveries under existing customer orders. The Company expects full-year 2026 revenue to be in the range of $32.9 million to $38.2 million, representing year-over-year growth of approximately 31% to 52%. This outlook reflects management’s current expectations regarding customer orders, production and delivery schedules, market conditions and other factors as of the date of this press release, and is subject to change. </w:t>
      </w:r>
    </w:p>
    <w:p>
      <w:pPr>
        <w:pStyle w:val="Heading1"/>
        <w:bidi w:val="0"/>
        <w:spacing w:before="120" w:after="100"/>
        <w:jc w:val="left"/>
        <w:rPr>
          <w:rFonts w:ascii="Times New Roman" w:hAnsi="Times New Roman"/>
          <w:color w:val="000000"/>
          <w:sz w:val="22"/>
          <w:u w:val="single"/>
        </w:rPr>
      </w:pPr>
      <w:r>
        <w:rPr>
          <w:rFonts w:ascii="Times New Roman" w:hAnsi="Times New Roman"/>
          <w:color w:val="000000"/>
          <w:sz w:val="22"/>
          <w:u w:val="single"/>
        </w:rPr>
        <w:t>Operating Highlights and Recent Announcements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sz w:val="22"/>
        </w:rPr>
      </w:pPr>
      <w:r>
        <w:rPr>
          <w:rFonts w:ascii="Times New Roman" w:hAnsi="Times New Roman"/>
          <w:b/>
          <w:color w:val="000000"/>
          <w:sz w:val="22"/>
        </w:rPr>
        <w:t xml:space="preserve">Deliveries: </w:t>
      </w:r>
      <w:r>
        <w:rPr>
          <w:rFonts w:ascii="Times New Roman" w:hAnsi="Times New Roman"/>
          <w:color w:val="000000"/>
          <w:sz w:val="22"/>
        </w:rPr>
        <w:t>Total EV charger deliveries were 262 units in the first half of 2026, representing a decrease of 44.5% year over year. This included 253 DC fast chargers, representing a decrease of 44.3%, and 9 NZS and GridLink chargers, representing a decrease of 50%.</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2"/>
        </w:rPr>
      </w:pPr>
      <w:r>
        <w:rPr>
          <w:rFonts w:ascii="Times New Roman" w:hAnsi="Times New Roman"/>
          <w:b/>
          <w:color w:val="000000"/>
          <w:sz w:val="22"/>
        </w:rPr>
        <w:t xml:space="preserve">Entered the Energy Storage Market with the Launch of GridOne. </w:t>
      </w:r>
      <w:r>
        <w:rPr>
          <w:rFonts w:ascii="Times New Roman" w:hAnsi="Times New Roman"/>
          <w:color w:val="000000"/>
          <w:sz w:val="22"/>
        </w:rPr>
        <w:t>In June, XCharge launched GridOne, an all-in-one photovoltaic and energy storage system for commercial and industrial applications, at ees Europe, a leading European exhibition for batteries and energy storage systems. GridOne combines 125 kW of power conversion capacity, a 215 kWh lithium iron phosphate battery and optional 50 kW photovoltaic maximum power point tracking in an integrated system designed for applications including peak shaving, solar self-consumption, EV charging load buffering and backup power.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2"/>
        </w:rPr>
      </w:pPr>
      <w:r>
        <w:rPr>
          <w:rFonts w:ascii="Times New Roman" w:hAnsi="Times New Roman"/>
          <w:b/>
          <w:color w:val="000000"/>
          <w:sz w:val="22"/>
        </w:rPr>
        <w:t xml:space="preserve">Unveiled the New Generation of the C7 DC Fast-Charging Station. </w:t>
      </w:r>
      <w:r>
        <w:rPr>
          <w:rFonts w:ascii="Times New Roman" w:hAnsi="Times New Roman"/>
          <w:color w:val="000000"/>
          <w:sz w:val="22"/>
        </w:rPr>
        <w:t>In June, XCharge presented the new generation of its C7 DC fast-charging station at Power2Drive Europe. Offering charging power of up to 480 kW, the upgraded C7 is designed to provide greater reliability, scalability and serviceability across public charging, commercial fleet, retail and other high-traffic applications.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2"/>
        </w:rPr>
      </w:pPr>
      <w:r>
        <w:rPr>
          <w:rFonts w:ascii="Times New Roman" w:hAnsi="Times New Roman"/>
          <w:b/>
          <w:color w:val="000000"/>
          <w:sz w:val="22"/>
        </w:rPr>
        <w:t xml:space="preserve">Appointed Albina Iljasov as Co-Chief Executive Officer. </w:t>
      </w:r>
      <w:r>
        <w:rPr>
          <w:rFonts w:ascii="Times New Roman" w:hAnsi="Times New Roman"/>
          <w:color w:val="000000"/>
          <w:sz w:val="22"/>
        </w:rPr>
        <w:t>Effective as of June 1, 2026, XCharge appointed Albina Iljasov as Co-Chief Executive Officer to serve alongside Simon Hou. Ms. Iljasov primarily oversees the Company’s European operations and related strategic initiatives and has primary responsibility for its information security and cybersecurity initiatives.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2"/>
        </w:rPr>
      </w:pPr>
      <w:r>
        <w:rPr>
          <w:rFonts w:ascii="Times New Roman" w:hAnsi="Times New Roman"/>
          <w:b/>
          <w:color w:val="000000"/>
          <w:sz w:val="22"/>
        </w:rPr>
        <w:t xml:space="preserve">Entered into a Long-Term Partnership with EnBW. </w:t>
      </w:r>
      <w:r>
        <w:rPr>
          <w:rFonts w:ascii="Times New Roman" w:hAnsi="Times New Roman"/>
          <w:color w:val="000000"/>
          <w:sz w:val="22"/>
        </w:rPr>
        <w:t>In March, XCharge entered into a multi-year framework agreement with EnBW, Germany’s largest fast-charging network operator, covering the supply and joint development of fast-charging hardware and software. The partnership followed a field test involving ten XCharge C7 ultra-fast chargers across four EnBW locations, which completed more than 20,000 charging sessions.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2"/>
        </w:rPr>
      </w:pPr>
      <w:r>
        <w:rPr>
          <w:rFonts w:ascii="Times New Roman" w:hAnsi="Times New Roman"/>
          <w:b/>
          <w:color w:val="000000"/>
          <w:sz w:val="22"/>
        </w:rPr>
        <w:t>Entered into a Registered Direct Offering.</w:t>
      </w:r>
      <w:r>
        <w:rPr>
          <w:rFonts w:ascii="Times New Roman" w:hAnsi="Times New Roman"/>
          <w:color w:val="000000"/>
          <w:sz w:val="22"/>
        </w:rPr>
        <w:t xml:space="preserve"> In June, XCharge entered into a securities purchase agreement with a global institutional investor for the sale of 7.0 million ADSs in a registered direct offering, generating gross proceeds of approximately $4.4 million before deducting placement agent fees and estimated offering expenses. The Company intends to use the net proceeds for working capital and general corporate purposes.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2"/>
        </w:rPr>
      </w:pPr>
      <w:r>
        <w:rPr>
          <w:rFonts w:ascii="Times New Roman" w:hAnsi="Times New Roman"/>
          <w:b/>
          <w:color w:val="000000"/>
          <w:sz w:val="22"/>
        </w:rPr>
        <w:t xml:space="preserve">Implemented an ADS Ratio Change. </w:t>
      </w:r>
      <w:r>
        <w:rPr>
          <w:rFonts w:ascii="Times New Roman" w:hAnsi="Times New Roman"/>
          <w:color w:val="000000"/>
          <w:sz w:val="22"/>
        </w:rPr>
        <w:t>Effective as of August 21, 2026, XCharge changed the ratio of its ADSs to its Class A ordinary shares from one ADS representing 40 Class A ordinary shares to one ADS representing 800 Class A ordinary shares. The ADS ratio change had the same effect as a one-for-20 reverse ADS split for ADS holders. The Company’s Class A ordinary shares were not affected, and its ADSs continue to trade on the Nasdaq Global Market under the symbol “XCH.”</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b/>
          <w:color w:val="000000"/>
          <w:sz w:val="22"/>
        </w:rPr>
        <w:t>Change in Management Position.</w:t>
      </w:r>
      <w:r>
        <w:rPr>
          <w:rFonts w:ascii="Times New Roman" w:hAnsi="Times New Roman"/>
          <w:color w:val="000000"/>
          <w:sz w:val="20"/>
        </w:rPr>
        <w:t xml:space="preserve"> </w:t>
      </w:r>
      <w:r>
        <w:rPr>
          <w:rFonts w:ascii="Times New Roman" w:hAnsi="Times New Roman"/>
          <w:color w:val="000000"/>
          <w:sz w:val="22"/>
        </w:rPr>
        <w:t>Effective as of September 7, 2026, Aatish V Patel transitioned from President of the Company to General Manager of XCharge Energy USA Inc., the Company’s wholly-owned U.S. subsidiary, to support the continued expansion of its U.S. operations.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2"/>
        </w:rPr>
      </w:pPr>
      <w:r>
        <w:rPr>
          <w:rFonts w:ascii="Times New Roman" w:hAnsi="Times New Roman"/>
          <w:b/>
          <w:color w:val="000000"/>
          <w:sz w:val="22"/>
        </w:rPr>
        <w:t>Regained Compliance with Nasdaq Minimum Bid Price Requirement.</w:t>
      </w:r>
      <w:r>
        <w:rPr>
          <w:rFonts w:ascii="Times New Roman" w:hAnsi="Times New Roman"/>
          <w:color w:val="000000"/>
          <w:sz w:val="22"/>
        </w:rPr>
        <w:t xml:space="preserve"> On September 8, 2026, the Company received confirmation from Nasdaq that it had regained compliance with the Minimum Bid Price Requirement and that the matter is now closed.</w:t>
      </w:r>
    </w:p>
    <w:p>
      <w:pPr>
        <w:pStyle w:val="TextBody"/>
        <w:bidi w:val="0"/>
        <w:jc w:val="left"/>
        <w:rPr/>
      </w:pPr>
      <w:r>
        <w:rPr/>
        <w:t> </w:t>
      </w:r>
    </w:p>
    <w:p>
      <w:pPr>
        <w:pStyle w:val="Heading1"/>
        <w:bidi w:val="0"/>
        <w:spacing w:before="240" w:after="283"/>
        <w:jc w:val="left"/>
        <w:rPr>
          <w:rFonts w:ascii="Times New Roman" w:hAnsi="Times New Roman"/>
          <w:color w:val="000000"/>
          <w:sz w:val="22"/>
          <w:u w:val="single"/>
        </w:rPr>
      </w:pPr>
      <w:r>
        <w:rPr>
          <w:rFonts w:ascii="Times New Roman" w:hAnsi="Times New Roman"/>
          <w:color w:val="000000"/>
          <w:sz w:val="22"/>
          <w:u w:val="single"/>
        </w:rPr>
        <w:t>Financial Summary for the First Half of 2026</w:t>
      </w:r>
    </w:p>
    <w:p>
      <w:pPr>
        <w:pStyle w:val="TextBody"/>
        <w:bidi w:val="0"/>
        <w:spacing w:before="240" w:after="283"/>
        <w:jc w:val="left"/>
        <w:rPr>
          <w:rFonts w:ascii="Times New Roman" w:hAnsi="Times New Roman"/>
          <w:i/>
          <w:color w:val="000000"/>
          <w:sz w:val="22"/>
        </w:rPr>
      </w:pPr>
      <w:r>
        <w:rPr>
          <w:rFonts w:ascii="Times New Roman" w:hAnsi="Times New Roman"/>
          <w:i/>
          <w:color w:val="000000"/>
          <w:sz w:val="22"/>
        </w:rPr>
        <w:t>Unless otherwise noted, the following figures refer to the first half of 2026 and comparisons are with the first half of 2025.</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2"/>
        </w:rPr>
      </w:pPr>
      <w:r>
        <w:rPr>
          <w:rFonts w:ascii="Times New Roman" w:hAnsi="Times New Roman"/>
          <w:b/>
          <w:color w:val="000000"/>
          <w:sz w:val="22"/>
        </w:rPr>
        <w:t xml:space="preserve">Revenues </w:t>
      </w:r>
      <w:r>
        <w:rPr>
          <w:rFonts w:ascii="Times New Roman" w:hAnsi="Times New Roman"/>
          <w:color w:val="000000"/>
          <w:sz w:val="22"/>
        </w:rPr>
        <w:t>were $10.3 million, representing a decrease of 17.5% from $12.5 million. Product revenues were $9.5 million, compared with $12.1 million, while service revenues increased to $0.8 million from $0.4 million. The decrease in revenue was primarily attributable to the timing of customer procurement decisions and project deliveries, including temporary delays beginning in late 2025 amid trade policy uncertainty and evolving renewable energy regulations. Despite the lower level of recognized revenue in the first half, order volume increased compared with the prior-year period, supporting the Company’s expectation for significantly higher revenue in the second half of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2"/>
        </w:rPr>
      </w:pPr>
      <w:r>
        <w:rPr>
          <w:rFonts w:ascii="Times New Roman" w:hAnsi="Times New Roman"/>
          <w:b/>
          <w:color w:val="000000"/>
          <w:sz w:val="22"/>
        </w:rPr>
        <w:t xml:space="preserve">Cost of revenues </w:t>
      </w:r>
      <w:r>
        <w:rPr>
          <w:rFonts w:ascii="Times New Roman" w:hAnsi="Times New Roman"/>
          <w:color w:val="000000"/>
          <w:sz w:val="22"/>
        </w:rPr>
        <w:t>was $6.3 million, up 3.6% from $6.1 million, primarily reflecting higher input costs for certain components and raw materials and foreign currency exchange effects.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2"/>
        </w:rPr>
      </w:pPr>
      <w:r>
        <w:rPr>
          <w:rFonts w:ascii="Times New Roman" w:hAnsi="Times New Roman"/>
          <w:b/>
          <w:color w:val="000000"/>
          <w:sz w:val="22"/>
        </w:rPr>
        <w:t>Gross margin</w:t>
      </w:r>
      <w:r>
        <w:rPr>
          <w:rFonts w:ascii="Times New Roman" w:hAnsi="Times New Roman"/>
          <w:color w:val="000000"/>
          <w:sz w:val="22"/>
        </w:rPr>
        <w:t xml:space="preserve"> was 38.8%, compared with 51.3%. The decrease was primarily due to the increased proportion of lower-margin products in the sales mix. In addition, the rise in prices of precious metals such as silver and copper also increased the purchase cost of spare parts and led to an increase in cost of sales and a decrease in gross profit. The Company continues to pursue pricing, sourcing and operating initiatives intended to mitigate these cost pressures.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2"/>
        </w:rPr>
      </w:pPr>
      <w:r>
        <w:rPr>
          <w:rFonts w:ascii="Times New Roman" w:hAnsi="Times New Roman"/>
          <w:b/>
          <w:color w:val="000000"/>
          <w:sz w:val="22"/>
        </w:rPr>
        <w:t>Operating expenses</w:t>
      </w:r>
      <w:r>
        <w:rPr>
          <w:rFonts w:ascii="Times New Roman" w:hAnsi="Times New Roman"/>
          <w:color w:val="000000"/>
          <w:sz w:val="22"/>
        </w:rPr>
        <w:t xml:space="preserve"> were $15.2 million, up 9.2% from $13.9 million.</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Times New Roman" w:hAnsi="Times New Roman"/>
          <w:sz w:val="22"/>
        </w:rPr>
      </w:pPr>
      <w:r>
        <w:rPr>
          <w:rFonts w:ascii="Times New Roman" w:hAnsi="Times New Roman"/>
          <w:b/>
          <w:color w:val="000000"/>
          <w:sz w:val="22"/>
        </w:rPr>
        <w:t>Selling and marketing expenses</w:t>
      </w:r>
      <w:r>
        <w:rPr>
          <w:rFonts w:ascii="Times New Roman" w:hAnsi="Times New Roman"/>
          <w:color w:val="000000"/>
          <w:sz w:val="22"/>
        </w:rPr>
        <w:t xml:space="preserve"> were $5.8 million, representing an increase of 12.7% from $5.2 million. The increase was primarily due to higher marketing expenses associated with the introduction of the Company’s new GridOne product, which was unveiled earlier this year.</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Times New Roman" w:hAnsi="Times New Roman"/>
          <w:sz w:val="21"/>
        </w:rPr>
      </w:pPr>
      <w:r>
        <w:rPr>
          <w:rFonts w:ascii="Times New Roman" w:hAnsi="Times New Roman"/>
          <w:b/>
          <w:color w:val="000000"/>
          <w:sz w:val="22"/>
        </w:rPr>
        <w:t>Research and development expenses</w:t>
      </w:r>
      <w:r>
        <w:rPr>
          <w:rFonts w:ascii="Times New Roman" w:hAnsi="Times New Roman"/>
          <w:color w:val="000000"/>
          <w:sz w:val="21"/>
        </w:rPr>
        <w:t xml:space="preserve"> </w:t>
      </w:r>
      <w:r>
        <w:rPr>
          <w:rFonts w:ascii="Times New Roman" w:hAnsi="Times New Roman"/>
          <w:color w:val="000000"/>
          <w:sz w:val="22"/>
        </w:rPr>
        <w:t>were $2.3 million, representing a decrease of 42.7% from $4.1 million</w:t>
      </w:r>
      <w:r>
        <w:rPr>
          <w:rFonts w:ascii="Times New Roman" w:hAnsi="Times New Roman"/>
          <w:color w:val="000000"/>
          <w:sz w:val="21"/>
        </w:rPr>
        <w:t>. The decrease primarily reflected the non-recurrence of certain development expenditures incurred in the first half of 2025, including third-party system-development costs associated with new product initiatives. The Company continued to invest in the development and enhancement of its charging and energy solutions during the first half of 2026</w:t>
      </w:r>
      <w:r>
        <w:rPr>
          <w:rFonts w:ascii="Times New Roman" w:hAnsi="Times New Roman"/>
          <w:color w:val="000000"/>
          <w:sz w:val="22"/>
        </w:rPr>
        <w:t>.</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Times New Roman" w:hAnsi="Times New Roman"/>
          <w:sz w:val="22"/>
        </w:rPr>
      </w:pPr>
      <w:r>
        <w:rPr>
          <w:rFonts w:ascii="Times New Roman" w:hAnsi="Times New Roman"/>
          <w:b/>
          <w:color w:val="000000"/>
          <w:sz w:val="22"/>
        </w:rPr>
        <w:t>General and administrative expenses</w:t>
      </w:r>
      <w:r>
        <w:rPr>
          <w:rFonts w:ascii="Times New Roman" w:hAnsi="Times New Roman"/>
          <w:color w:val="000000"/>
          <w:sz w:val="22"/>
        </w:rPr>
        <w:t xml:space="preserve"> were $7.0 million, representing an increase of 51.3% from $4.6 million. The increase primarily reflected higher professional service expenses, including legal, audit and compliance costs, as well as other costs associated with operating as a U.S.-listed public company, and the shift from foreign currency exchange gain to loss. The increase was partially offset by lower share-based compensation.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2"/>
        </w:rPr>
      </w:pPr>
      <w:r>
        <w:rPr>
          <w:rFonts w:ascii="Times New Roman" w:hAnsi="Times New Roman"/>
          <w:b/>
          <w:color w:val="000000"/>
          <w:sz w:val="22"/>
        </w:rPr>
        <w:t>Operating loss</w:t>
      </w:r>
      <w:r>
        <w:rPr>
          <w:rFonts w:ascii="Times New Roman" w:hAnsi="Times New Roman"/>
          <w:color w:val="000000"/>
          <w:sz w:val="22"/>
        </w:rPr>
        <w:t xml:space="preserve"> was $11.2 million, compared with an operating loss of $7.4 million, primarily reflecting lower gross profit resulting from lower revenue and gross margin, together with higher general and administrative and selling and marketing expenses, partially offset by lower research and development expenses.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2"/>
        </w:rPr>
      </w:pPr>
      <w:r>
        <w:rPr>
          <w:rFonts w:ascii="Times New Roman" w:hAnsi="Times New Roman"/>
          <w:b/>
          <w:color w:val="000000"/>
          <w:sz w:val="22"/>
        </w:rPr>
        <w:t>Net loss</w:t>
      </w:r>
      <w:r>
        <w:rPr>
          <w:rFonts w:ascii="Times New Roman" w:hAnsi="Times New Roman"/>
          <w:color w:val="000000"/>
          <w:sz w:val="22"/>
        </w:rPr>
        <w:t xml:space="preserve"> was $11.1 million, compared with a net loss of $7.3 million. Non-GAAP net loss, which excludes the effect of share-based compensation and changes in fair value of financial instruments, was $10.4 million, compared with a non-GAAP net loss of $4.6 million.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2"/>
        </w:rPr>
      </w:pPr>
      <w:r>
        <w:rPr>
          <w:rFonts w:ascii="Times New Roman" w:hAnsi="Times New Roman"/>
          <w:b/>
          <w:color w:val="000000"/>
          <w:sz w:val="22"/>
        </w:rPr>
        <w:t xml:space="preserve">Basic and diluted loss per Class A and Class B ordinary share </w:t>
      </w:r>
      <w:r>
        <w:rPr>
          <w:rFonts w:ascii="Times New Roman" w:hAnsi="Times New Roman"/>
          <w:color w:val="000000"/>
          <w:sz w:val="22"/>
        </w:rPr>
        <w:t>was $0.004, compared with a loss per share of $0.003. Non-GAAP basic and diluted loss per Class A and Class B ordinary share, which excludes the effect of share-based compensation and changes in fair value of financial instruments, was $0.003, compared with a non-GAAP loss per share of $0.002.</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2"/>
        </w:rPr>
      </w:pPr>
      <w:r>
        <w:rPr>
          <w:rFonts w:ascii="Times New Roman" w:hAnsi="Times New Roman"/>
          <w:b/>
          <w:color w:val="000000"/>
          <w:sz w:val="22"/>
        </w:rPr>
        <w:t xml:space="preserve">Cash and cash equivalents plus restricted cash </w:t>
      </w:r>
      <w:r>
        <w:rPr>
          <w:rFonts w:ascii="Times New Roman" w:hAnsi="Times New Roman"/>
          <w:color w:val="000000"/>
          <w:sz w:val="22"/>
        </w:rPr>
        <w:t>were $11.4 million as of June 30, 2026, compared with $13.9 million as of December 31, 2025. The decrease primarily reflected cash used in operating activities, partially offset by financing activities, including proceeds from the registered direct offering completed in June 2026. The Company continues to actively manage liquidity and working capital while supporting anticipated higher business activity in the second half of the year.</w:t>
      </w:r>
    </w:p>
    <w:p>
      <w:pPr>
        <w:pStyle w:val="Heading1"/>
        <w:bidi w:val="0"/>
        <w:jc w:val="left"/>
        <w:rPr/>
      </w:pPr>
      <w:r>
        <w:rPr/>
        <w:t> </w:t>
      </w:r>
    </w:p>
    <w:p>
      <w:pPr>
        <w:pStyle w:val="Heading1"/>
        <w:bidi w:val="0"/>
        <w:spacing w:before="240" w:after="283"/>
        <w:jc w:val="left"/>
        <w:rPr>
          <w:rFonts w:ascii="Times New Roman" w:hAnsi="Times New Roman"/>
          <w:color w:val="000000"/>
          <w:sz w:val="22"/>
          <w:u w:val="single"/>
        </w:rPr>
      </w:pPr>
      <w:r>
        <w:rPr>
          <w:rFonts w:ascii="Times New Roman" w:hAnsi="Times New Roman"/>
          <w:color w:val="000000"/>
          <w:sz w:val="22"/>
          <w:u w:val="single"/>
        </w:rPr>
        <w:t>Use of Non-GAAP Financial Measures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We consider non-GAAP net loss and non-GAAP basic and diluted loss per Class A and Class B ordinary share as supplemental measures to review and assess our operating performance. The presentation of these non-GAAP financial measures is not intended to be considered in isolation or as a substitute for the financial information prepared and presented in accordance with U.S. GAAP. We present these non-GAAP financial measures because they are used by our management to evaluate our operating performance and formulate business plans. We also believe that the use of these non-GAAP measures facilitates investors’ assessment of our operating performance.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Further, these non-GAAP measures may differ from the non-GAAP information used by other companies, including peer companies, and therefore their comparability may be limited. We compensate for these limitations by reconciling these non-GAAP financial measures to the nearest U.S. GAAP performance measures, all of which should be considered when evaluating our performance. We encourage you to review our financial information in its entirety and not rely on a single financial measure.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We define non-GAAP net loss as net loss excluding share-based compensation and changes in fair value of financial instruments. We define non-GAAP basic and diluted loss per Class A and Class B ordinary share as non-GAAP net loss divided by the weighted average number of Class A and Class B ordinary shares outstanding during the period. For more information on these non-GAAP financial measures, please see the tables captioned “Unaudited Reconciliations of GAAP and Non-GAAP Results” set forth at the end of this release.</w:t>
      </w:r>
    </w:p>
    <w:p>
      <w:pPr>
        <w:pStyle w:val="Heading1"/>
        <w:bidi w:val="0"/>
        <w:spacing w:before="240" w:after="283"/>
        <w:jc w:val="left"/>
        <w:rPr>
          <w:rFonts w:ascii="Times New Roman" w:hAnsi="Times New Roman"/>
          <w:color w:val="000000"/>
          <w:sz w:val="22"/>
          <w:u w:val="single"/>
        </w:rPr>
      </w:pPr>
      <w:r>
        <w:rPr>
          <w:rFonts w:ascii="Times New Roman" w:hAnsi="Times New Roman"/>
          <w:color w:val="000000"/>
          <w:sz w:val="22"/>
          <w:u w:val="single"/>
        </w:rPr>
        <w:t>Exchange Rate Information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This release contains translations of certain Euro and Renminbi amounts into U.S. dollars solely for the convenience of the reader. Unless otherwise noted, translations were made at EUR0.8759 to $1.00 and RMB6.7851 to $1.00, based on the exchange rates as of June 30, 2026 published in the H.10 statistical release of the Federal Reserve Board. The Company makes no representation that any amounts could have been, or could be, converted into another currency, as the case may be, at any particular rate or at all.</w:t>
      </w:r>
    </w:p>
    <w:p>
      <w:pPr>
        <w:pStyle w:val="Heading1"/>
        <w:bidi w:val="0"/>
        <w:spacing w:before="240" w:after="283"/>
        <w:jc w:val="left"/>
        <w:rPr>
          <w:rFonts w:ascii="Times New Roman" w:hAnsi="Times New Roman"/>
          <w:color w:val="000000"/>
          <w:sz w:val="22"/>
          <w:u w:val="single"/>
        </w:rPr>
      </w:pPr>
      <w:r>
        <w:rPr>
          <w:rFonts w:ascii="Times New Roman" w:hAnsi="Times New Roman"/>
          <w:color w:val="000000"/>
          <w:sz w:val="22"/>
          <w:u w:val="single"/>
        </w:rPr>
        <w:t>Safe Harbor Statement</w:t>
      </w:r>
    </w:p>
    <w:p>
      <w:pPr>
        <w:pStyle w:val="TextBody"/>
        <w:bidi w:val="0"/>
        <w:spacing w:before="240" w:after="283"/>
        <w:jc w:val="left"/>
        <w:rPr>
          <w:rFonts w:ascii="Times New Roman" w:hAnsi="Times New Roman"/>
          <w:sz w:val="22"/>
        </w:rPr>
      </w:pPr>
      <w:r>
        <w:rPr>
          <w:rFonts w:ascii="Times New Roman" w:hAnsi="Times New Roman"/>
          <w:color w:val="04060F"/>
          <w:sz w:val="22"/>
        </w:rPr>
        <w:t xml:space="preserve">This press release contains forward-looking statements. Such statements are made pursuant to the “safe harbor” provisions of the U.S. Private Securities Litigation Reform Act of 1995. Statements that are not historical facts, including statements about </w:t>
      </w:r>
      <w:r>
        <w:rPr>
          <w:rFonts w:ascii="Times New Roman" w:hAnsi="Times New Roman"/>
          <w:color w:val="000000"/>
          <w:sz w:val="22"/>
        </w:rPr>
        <w:t xml:space="preserve">the Company’s </w:t>
      </w:r>
      <w:r>
        <w:rPr>
          <w:rFonts w:ascii="Times New Roman" w:hAnsi="Times New Roman"/>
          <w:color w:val="04060F"/>
          <w:sz w:val="22"/>
        </w:rPr>
        <w:t xml:space="preserve">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“objective,” “target,” “aim,” “estimate,” “intend,” “plan,” “believe,” “potential,” “continue,”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pPr>
      <w:r>
        <w:rPr>
          <w:color w:val="04060F"/>
        </w:rPr>
        <w:t>“</w:t>
      </w:r>
      <w:r>
        <w:rPr>
          <w:rFonts w:ascii="Times New Roman" w:hAnsi="Times New Roman"/>
          <w:color w:val="04060F"/>
          <w:sz w:val="22"/>
        </w:rPr>
        <w:t xml:space="preserve">is/are likely to” or other similar expressions. Further information regarding these and other risks, uncertainties or factors is included in </w:t>
      </w:r>
      <w:r>
        <w:rPr>
          <w:rFonts w:ascii="Times New Roman" w:hAnsi="Times New Roman"/>
          <w:color w:val="000000"/>
          <w:sz w:val="22"/>
        </w:rPr>
        <w:t xml:space="preserve">the Company’s </w:t>
      </w:r>
      <w:r>
        <w:rPr>
          <w:rFonts w:ascii="Times New Roman" w:hAnsi="Times New Roman"/>
          <w:color w:val="04060F"/>
          <w:sz w:val="22"/>
        </w:rPr>
        <w:t>filings with the United States Securities and Exchange Commission.</w:t>
      </w:r>
    </w:p>
    <w:p>
      <w:pPr>
        <w:pStyle w:val="TextBody"/>
        <w:bidi w:val="0"/>
        <w:jc w:val="left"/>
        <w:rPr>
          <w:rFonts w:ascii="Times New Roman" w:hAnsi="Times New Roman"/>
          <w:sz w:val="22"/>
        </w:rPr>
      </w:pPr>
      <w:r>
        <w:rPr>
          <w:rFonts w:ascii="Times New Roman" w:hAnsi="Times New Roman"/>
          <w:color w:val="04060F"/>
          <w:sz w:val="22"/>
        </w:rPr>
        <w:t xml:space="preserve">All information provided in this press release is as of the date of this press release, and </w:t>
      </w:r>
      <w:r>
        <w:rPr>
          <w:rFonts w:ascii="Times New Roman" w:hAnsi="Times New Roman"/>
          <w:color w:val="000000"/>
          <w:sz w:val="22"/>
        </w:rPr>
        <w:t xml:space="preserve">the Company </w:t>
      </w:r>
      <w:r>
        <w:rPr>
          <w:rFonts w:ascii="Times New Roman" w:hAnsi="Times New Roman"/>
          <w:color w:val="04060F"/>
          <w:sz w:val="22"/>
        </w:rPr>
        <w:t>does not undertake any duty to update such information, except as required under applicable law.</w:t>
      </w:r>
    </w:p>
    <w:p>
      <w:pPr>
        <w:pStyle w:val="Heading1"/>
        <w:bidi w:val="0"/>
        <w:spacing w:before="240" w:after="283"/>
        <w:jc w:val="left"/>
        <w:rPr>
          <w:rFonts w:ascii="Times New Roman" w:hAnsi="Times New Roman"/>
          <w:color w:val="000000"/>
          <w:sz w:val="22"/>
          <w:u w:val="single"/>
        </w:rPr>
      </w:pPr>
      <w:r>
        <w:rPr>
          <w:rFonts w:ascii="Times New Roman" w:hAnsi="Times New Roman"/>
          <w:color w:val="000000"/>
          <w:sz w:val="22"/>
          <w:u w:val="single"/>
        </w:rPr>
        <w:t>About XCharge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 xml:space="preserve">XCharge (Nasdaq: XCH) is a global provider in high-power electric vehicle charging solutions. The Company has headquarters in Hamburg, Germany and Austin, TX, working with a globally networked team to drive innovation in the field of energy and help its customers achieve long-term success. </w:t>
      </w:r>
    </w:p>
    <w:p>
      <w:pPr>
        <w:pStyle w:val="TextBody"/>
        <w:bidi w:val="0"/>
        <w:jc w:val="left"/>
        <w:rPr/>
      </w:pPr>
      <w:r>
        <w:rPr/>
        <w:t> </w:t>
      </w:r>
    </w:p>
    <w:p>
      <w:pPr>
        <w:pStyle w:val="Heading1"/>
        <w:bidi w:val="0"/>
        <w:jc w:val="left"/>
        <w:rPr>
          <w:rFonts w:ascii="Times New Roman" w:hAnsi="Times New Roman"/>
          <w:color w:val="000000"/>
          <w:sz w:val="22"/>
        </w:rPr>
      </w:pPr>
      <w:r>
        <w:rPr>
          <w:rFonts w:ascii="Times New Roman" w:hAnsi="Times New Roman"/>
          <w:color w:val="000000"/>
          <w:sz w:val="22"/>
        </w:rPr>
        <w:t>For investor and media inquiries, please contact:</w:t>
      </w:r>
    </w:p>
    <w:p>
      <w:pPr>
        <w:pStyle w:val="TextBody"/>
        <w:bidi w:val="0"/>
        <w:jc w:val="left"/>
        <w:rPr>
          <w:rFonts w:ascii="Times New Roman" w:hAnsi="Times New Roman"/>
          <w:color w:val="000000"/>
          <w:sz w:val="22"/>
        </w:rPr>
      </w:pPr>
      <w:r>
        <w:rPr>
          <w:rFonts w:ascii="Times New Roman" w:hAnsi="Times New Roman"/>
          <w:color w:val="000000"/>
          <w:sz w:val="22"/>
        </w:rPr>
        <w:t>XCHG Limited</w:t>
        <w:br/>
        <w:t>IR Department</w:t>
        <w:br/>
        <w:t>Email: ir@xcharge.com</w:t>
        <w:br/>
        <w:br/>
        <w:t>Water Tower Research Asia</w:t>
        <w:br/>
        <w:t>Feifei Shen, CFA</w:t>
        <w:br/>
        <w:t>Tel: +86 134-6656-6136</w:t>
        <w:br/>
        <w:t>Email: feifei@watertowerresearch.com</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olor w:val="000000"/>
          <w:sz w:val="22"/>
        </w:rPr>
      </w:pPr>
      <w:r>
        <w:rPr>
          <w:rFonts w:ascii="Times New Roman" w:hAnsi="Times New Roman"/>
          <w:color w:val="000000"/>
          <w:sz w:val="22"/>
        </w:rPr>
        <w:t>XCHG LIMITED</w:t>
      </w:r>
    </w:p>
    <w:p>
      <w:pPr>
        <w:pStyle w:val="Heading2"/>
        <w:bidi w:val="0"/>
        <w:jc w:val="center"/>
        <w:rPr>
          <w:rFonts w:ascii="Times New Roman" w:hAnsi="Times New Roman"/>
          <w:color w:val="000000"/>
          <w:sz w:val="22"/>
        </w:rPr>
      </w:pPr>
      <w:r>
        <w:rPr>
          <w:rFonts w:ascii="Times New Roman" w:hAnsi="Times New Roman"/>
          <w:color w:val="000000"/>
          <w:sz w:val="22"/>
        </w:rPr>
        <w:t>UNAUDITED CONDENSED CONSOLIDATED BALANCE SHEETS</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6879"/>
        <w:gridCol w:w="146"/>
        <w:gridCol w:w="155"/>
        <w:gridCol w:w="1213"/>
        <w:gridCol w:w="166"/>
        <w:gridCol w:w="146"/>
        <w:gridCol w:w="146"/>
        <w:gridCol w:w="1141"/>
        <w:gridCol w:w="213"/>
      </w:tblGrid>
      <w:tr>
        <w:trPr/>
        <w:tc>
          <w:tcPr>
            <w:tcW w:w="6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8,855,514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2,557,464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7,005,396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6,452,834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1,734,333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13,832,492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3,023,022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37,111,396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36,455,659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Non</w:t>
            </w:r>
            <w:r>
              <w:rPr>
                <w:rFonts w:ascii="Times New Roman" w:hAnsi="Times New Roman"/>
                <w:color w:val="000000"/>
                <w:sz w:val="20"/>
              </w:rPr>
              <w:noBreakHyphen/>
            </w: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2,008,436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110,536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1,524,016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1,101,478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non</w:t>
            </w:r>
            <w:r>
              <w:rPr>
                <w:rFonts w:ascii="Times New Roman" w:hAnsi="Times New Roman"/>
                <w:color w:val="000000"/>
                <w:sz w:val="20"/>
              </w:rPr>
              <w:noBreakHyphen/>
            </w:r>
            <w:r>
              <w:rPr>
                <w:rFonts w:ascii="Times New Roman" w:hAnsi="Times New Roman"/>
                <w:b/>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5,557,124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4,744,466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42,668,520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41,200,125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8,105,997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8,320,524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6,510,896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468,274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to a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159,996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6,068,318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23,537,854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29,658,197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Non</w:t>
            </w:r>
            <w:r>
              <w:rPr>
                <w:rFonts w:ascii="Times New Roman" w:hAnsi="Times New Roman"/>
                <w:color w:val="000000"/>
                <w:sz w:val="20"/>
              </w:rPr>
              <w:noBreakHyphen/>
            </w: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1,075,871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non</w:t>
            </w:r>
            <w:r>
              <w:rPr>
                <w:rFonts w:ascii="Times New Roman" w:hAnsi="Times New Roman"/>
                <w:color w:val="000000"/>
                <w:sz w:val="20"/>
              </w:rPr>
              <w:noBreakHyphen/>
            </w: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1,264,311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1,103,960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24,802,165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30,762,157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ordinary shares (USD0.00001 par value; 4,258,745,553 shares authorized; 2,160,310,915 and 2,799,892,915 shares issued, and 2,160,310,915 and 2,459,892,915 shares outstanding, as of December 31, 2025 and June 30, 2026, respectively; the shares issued as of June 30, 2026 include 340,000,000 escrowed reserve shares under the ATM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ordinary shares (USD0.00001 par value; 741,254,447 shares</w:t>
              <w:br/>
              <w:t>   authorized, issued and outstanding as of December 31, 2025 and June</w:t>
              <w:br/>
              <w:t>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 -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100,820,027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105,035,759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1,369,044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(84,876,067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(96,002,247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17,866,355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10,437,968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42,668,520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41,200,125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olor w:val="000000"/>
          <w:sz w:val="22"/>
        </w:rPr>
      </w:pPr>
      <w:r>
        <w:rPr>
          <w:rFonts w:ascii="Times New Roman" w:hAnsi="Times New Roman"/>
          <w:color w:val="000000"/>
          <w:sz w:val="22"/>
        </w:rPr>
        <w:t>XCHG LIMITED</w:t>
      </w:r>
    </w:p>
    <w:p>
      <w:pPr>
        <w:pStyle w:val="Heading2"/>
        <w:bidi w:val="0"/>
        <w:jc w:val="center"/>
        <w:rPr>
          <w:rFonts w:ascii="Times New Roman" w:hAnsi="Times New Roman"/>
          <w:color w:val="000000"/>
          <w:sz w:val="22"/>
        </w:rPr>
      </w:pPr>
      <w:r>
        <w:rPr>
          <w:rFonts w:ascii="Times New Roman" w:hAnsi="Times New Roman"/>
          <w:color w:val="000000"/>
          <w:sz w:val="22"/>
        </w:rPr>
        <w:t>UNAUDITED CONDENSED CONSOLIDATED STATEMENTS OF COMPREHENSIVE LOSS</w:t>
      </w:r>
    </w:p>
    <w:p>
      <w:pPr>
        <w:pStyle w:val="Heading2"/>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62"/>
        <w:gridCol w:w="146"/>
        <w:gridCol w:w="146"/>
        <w:gridCol w:w="1291"/>
        <w:gridCol w:w="166"/>
        <w:gridCol w:w="146"/>
        <w:gridCol w:w="146"/>
        <w:gridCol w:w="1291"/>
        <w:gridCol w:w="211"/>
      </w:tblGrid>
      <w:tr>
        <w:trPr/>
        <w:tc>
          <w:tcPr>
            <w:tcW w:w="6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(including sales to a related party of US$753,827 and US$226 for the six months ended June 30, 2025 and 2026,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12,451,126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10,270,989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(including purchase from a related party of US$147,611 and US$526 for the six months ended June 30, 2025 and 2026,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(6,069,788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(6,290,301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6,381,338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3,980,688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(5,843,734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(2,339,474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(6,989,407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(13,891,623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(15,172,615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(7,436,460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(11,183,746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(7,338,130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(11,126,180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(7,338,130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(11,126,180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 net of nil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(7,390,220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(11,650,515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Class A and Class B ordinary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Class A and Class B ordinary shares – Basic and</w:t>
              <w:br/>
              <w:t>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2,544,609,189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3,128,519,848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240" w:after="100"/>
        <w:jc w:val="center"/>
        <w:rPr>
          <w:rFonts w:ascii="Times New Roman" w:hAnsi="Times New Roman"/>
          <w:color w:val="000000"/>
          <w:sz w:val="22"/>
        </w:rPr>
      </w:pPr>
      <w:r>
        <w:rPr>
          <w:rFonts w:ascii="Times New Roman" w:hAnsi="Times New Roman"/>
          <w:color w:val="000000"/>
          <w:sz w:val="22"/>
        </w:rPr>
        <w:t>XCHG LIMITED</w:t>
      </w:r>
    </w:p>
    <w:p>
      <w:pPr>
        <w:pStyle w:val="Heading2"/>
        <w:bidi w:val="0"/>
        <w:spacing w:before="80" w:after="80"/>
        <w:jc w:val="center"/>
        <w:rPr>
          <w:rFonts w:ascii="Times New Roman" w:hAnsi="Times New Roman"/>
          <w:color w:val="000000"/>
          <w:sz w:val="22"/>
        </w:rPr>
      </w:pPr>
      <w:r>
        <w:rPr>
          <w:rFonts w:ascii="Times New Roman" w:hAnsi="Times New Roman"/>
          <w:color w:val="000000"/>
          <w:sz w:val="22"/>
        </w:rPr>
        <w:t>UNAUDITED CONDENSED CONSOLIDATED STATEMENTS OF CASH FLOWS</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7112"/>
        <w:gridCol w:w="146"/>
        <w:gridCol w:w="146"/>
        <w:gridCol w:w="1096"/>
        <w:gridCol w:w="166"/>
        <w:gridCol w:w="146"/>
        <w:gridCol w:w="146"/>
        <w:gridCol w:w="1036"/>
        <w:gridCol w:w="211"/>
      </w:tblGrid>
      <w:tr>
        <w:trPr/>
        <w:tc>
          <w:tcPr>
            <w:tcW w:w="7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(6,815,957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(7,470,588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purchase of property and equipment and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provided to a third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(302,621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short-term bank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4,371,674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short-term bank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(2,914,449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ordinary shares through follow-up offering, net of placement agent fees and other reimbursable expenses $480,312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3,894,688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follow-up offering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(3,509,354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5,121,524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currency exchange rate changes on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(10,436,353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(2,495,301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26,773,902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13,908,279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16,337,549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11,412,978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 of ATM program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Offering costs charged against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894,379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transferred from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assets disposed as reduction of operating lease liabilities due to 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the amount for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16,337,549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8,855,514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2,557,464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16,337,549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11,412,978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240" w:after="100"/>
        <w:jc w:val="center"/>
        <w:rPr>
          <w:rFonts w:ascii="Times New Roman" w:hAnsi="Times New Roman"/>
          <w:color w:val="000000"/>
          <w:sz w:val="22"/>
        </w:rPr>
      </w:pPr>
      <w:r>
        <w:rPr>
          <w:rFonts w:ascii="Times New Roman" w:hAnsi="Times New Roman"/>
          <w:color w:val="000000"/>
          <w:sz w:val="22"/>
        </w:rPr>
        <w:t>XCHG LIMITED</w:t>
      </w:r>
    </w:p>
    <w:p>
      <w:pPr>
        <w:pStyle w:val="Heading2"/>
        <w:bidi w:val="0"/>
        <w:jc w:val="center"/>
        <w:rPr>
          <w:rFonts w:ascii="Times New Roman" w:hAnsi="Times New Roman"/>
          <w:color w:val="000000"/>
          <w:sz w:val="22"/>
        </w:rPr>
      </w:pPr>
      <w:r>
        <w:rPr>
          <w:rFonts w:ascii="Times New Roman" w:hAnsi="Times New Roman"/>
          <w:color w:val="000000"/>
          <w:sz w:val="22"/>
        </w:rPr>
        <w:t>UNAUDITED RECONCILIATION OF GAAP AND NON-GAAP RESULTS</w:t>
      </w:r>
    </w:p>
    <w:p>
      <w:pPr>
        <w:pStyle w:val="TextBody"/>
        <w:bidi w:val="0"/>
        <w:spacing w:before="0" w:after="120"/>
        <w:jc w:val="left"/>
        <w:rPr/>
      </w:pPr>
      <w:r>
        <w:rPr/>
        <w:t> </w:t>
      </w:r>
    </w:p>
    <w:tbl>
      <w:tblPr>
        <w:tblW w:w="9529" w:type="dxa"/>
        <w:jc w:val="left"/>
        <w:tblInd w:w="0" w:type="dxa"/>
        <w:tblLayout w:type="fixed"/>
        <w:tblCellMar>
          <w:top w:w="28" w:type="dxa"/>
          <w:left w:w="28" w:type="dxa"/>
          <w:bottom w:w="28" w:type="dxa"/>
          <w:right w:w="28" w:type="dxa"/>
        </w:tblCellMar>
      </w:tblPr>
      <w:tblGrid>
        <w:gridCol w:w="6481"/>
        <w:gridCol w:w="146"/>
        <w:gridCol w:w="146"/>
        <w:gridCol w:w="991"/>
        <w:gridCol w:w="166"/>
        <w:gridCol w:w="146"/>
        <w:gridCol w:w="146"/>
        <w:gridCol w:w="1096"/>
        <w:gridCol w:w="211"/>
      </w:tblGrid>
      <w:tr>
        <w:trPr/>
        <w:tc>
          <w:tcPr>
            <w:tcW w:w="6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(7,338,130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(11,126,180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changes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(10,425,891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Loss per Class A and Class B ordinary share</w:t>
            </w: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changes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Non-GAAP Loss per Class A and Class B ordinary share </w:t>
            </w:r>
            <w:r>
              <w:rPr>
                <w:rFonts w:ascii="Times New Roman" w:hAnsi="Times New Roman"/>
                <w:color w:val="000000"/>
                <w:sz w:val="20"/>
              </w:rP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3250</Words>
  <Characters>18821</Characters>
  <CharactersWithSpaces>22379</CharactersWithSpaces>
  <Paragraphs>1221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