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prosupp.htm"/>
      <w:bookmarkStart w:id="1" w:name="ksxprosupp"/>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424(b)(5)</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333-292266</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January 29, 2026)</w:t>
      </w:r>
    </w:p>
    <w:p>
      <w:pPr>
        <w:pStyle w:val="TextBody"/>
        <w:bidi w:val="0"/>
        <w:jc w:val="center"/>
        <w:rPr/>
      </w:pPr>
      <w:r>
        <w:rPr/>
        <w:t> </w:t>
      </w:r>
    </w:p>
    <w:p>
      <w:pPr>
        <w:pStyle w:val="TextBody"/>
        <w:bidi w:val="0"/>
        <w:jc w:val="center"/>
        <w:rPr/>
      </w:pPr>
      <w:r>
        <w:rPr/>
        <w:drawing>
          <wp:inline distT="0" distB="0" distL="0" distR="0">
            <wp:extent cx="165735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2571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7,000,000 American Depositary Shares</w:t>
      </w:r>
    </w:p>
    <w:p>
      <w:pPr>
        <w:pStyle w:val="TextBody"/>
        <w:bidi w:val="0"/>
        <w:jc w:val="center"/>
        <w:rPr>
          <w:rFonts w:ascii="Times New Roman" w:hAnsi="Times New Roman"/>
          <w:b/>
          <w:color w:val="000000"/>
          <w:sz w:val="20"/>
        </w:rPr>
      </w:pPr>
      <w:r>
        <w:rPr>
          <w:rFonts w:ascii="Times New Roman" w:hAnsi="Times New Roman"/>
          <w:b/>
          <w:color w:val="000000"/>
          <w:sz w:val="20"/>
        </w:rPr>
        <w:t>Representing 280,000,000 Class A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entered into a Securities Purchase Agreement (the “Securities Purchase Agreement”), dated as of June 25, 2026, with the purchaser identified on the signature pages thereto (the “Purchaser”), relating to the sale of 7,000,000 American Depositary Shares (the “ADSs”) each representing forty (40) Class A Ordinary Shares par value US$0.00001 per share (the “Class A Ordinary Shares”), offered by this prospectus supplement and the accompanying prospectus.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ADSs are being offered in a registered direct offering. We expect to deliver the ADSs to the Purchaser on or about June 29, 2026, subject to customary closing conditions. The sale of ADSs as contemplated in this prospectus supplement will be settled through the facilities of The Depository Trust Company or by such other means as we and the Placement Agent may agree upon.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retained A.G.P./Alliance Global Partners (the “Placement Agent”) as our exclusive placement agent in connection with this offering. The Placement Agent is not purchasing or selling any of the ADSs offered pursuant to this prospectus supplement and the accompanying prospectus, nor is the Placement Agent required to arrange the purchase or sale of any specific number or dollar amount of ADSs, but has agreed to use its reasonable best efforts to arrange for the sale of all of the ADSs offered hereby. We will pay the Placement Agent a cash fee equal to 6.75% of the aggregate gross proceeds received by the Company from the sale of the ADSs in this offering. See “Plan of Distribution” beginning on page S-11 of this prospectus supplement for more information regarding these arrangements. Pursuant to the Side Letter to the Placement Agency Agreement, dated June 29, 2026, the Company and the Placement Agent have mutually agreed to additional closings on or before the 30th calendar day anniversary of the initial closing date, if the Placement Agent exercises its option to place additional ADSs of up to an aggregate amount of 1% of the ADSs offered at the initial closing to one or more investors by delivery of one or more written notices.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ADSs are listed on the Nasdaq Global Market (“Nasdaq”), under the symbol “XCH.” The ADSs are the only class of our equity securities that is publicly traded. On June 25, 2026, the last reported sale price of the ADSs on Nasdaq was $0.8924 per ADS.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of this prospectus supplement, the aggregate market value of our outstanding Class A Ordinary Shares held by non-affiliates is approximately $15,232,778.40, which is calculated based on 580,296,320 Class A Ordinary Shares held by non-affiliates (representing approximately 14,507,408 ADSs), a price of $1.05 per ADS as of May 4, 2026, which was the highest closing sale price of the ADSs on Nasdaq within the prior 60 days of this prospectus supplement, and the ADS-to-Class A Ordinary Share ratio of 40 Class A Ordinary Shares per ADS. For purposes of this calculation, we have excluded our outstanding Class B Ordinary Shares, par value US$0.00001 per share (the “Class B Ordinary Shares” and, together with the Class A Ordinary Shares, the “Ordinary Shares”), which are not publicly traded and are held by our founders and other affiliates. For a description of our dual-class share structure and the voting control of our founders and other affiliates, see “Description of Share Capital” in the accompanying prospectus. During the twelve (12) calendar months prior to and including the date of this prospectus supplement, we have sold an aggregate of 22,000 ADSs and raised approximately $25,018 in gross proceeds under the accompanying prospectus and applicable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and have elected to comply with certain reduced public company reporting requirements.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Cayman Islands holding company and conduct substantially all of our operations through subsidiaries in the People’s Republic of China (the “PRC”) and other jurisdictions. As a result, we are subject to risks related to doing business in the PRC, including regulatory oversight by PRC authorities and the risk that the ADSs could be prohibited from trading under the Holding Foreign Companies Accountable Act if the PCAOB is unable to inspect or investigate completely our auditor.</w:t>
      </w:r>
    </w:p>
    <w:p>
      <w:pPr>
        <w:pStyle w:val="TextBody"/>
        <w:bidi w:val="0"/>
        <w:spacing w:before="240" w:after="283"/>
        <w:jc w:val="left"/>
        <w:rPr>
          <w:rFonts w:ascii="Times New Roman" w:hAnsi="Times New Roman"/>
          <w:sz w:val="20"/>
        </w:rPr>
      </w:pPr>
      <w:r>
        <w:rPr>
          <w:rFonts w:ascii="Times New Roman" w:hAnsi="Times New Roman"/>
          <w:b/>
          <w:color w:val="000000"/>
          <w:sz w:val="20"/>
        </w:rPr>
        <w:t>Investing in the ADSs involves a high degree of risk. See the “</w:t>
      </w:r>
      <w:r>
        <w:rPr>
          <w:rFonts w:ascii="Times New Roman" w:hAnsi="Times New Roman"/>
          <w:b/>
          <w:i/>
          <w:color w:val="000000"/>
          <w:sz w:val="20"/>
        </w:rPr>
        <w:t>Risk Factors</w:t>
      </w:r>
      <w:r>
        <w:rPr>
          <w:rFonts w:ascii="Times New Roman" w:hAnsi="Times New Roman"/>
          <w:color w:val="000000"/>
          <w:sz w:val="20"/>
        </w:rPr>
        <w:t xml:space="preserve">” </w:t>
      </w:r>
      <w:r>
        <w:rPr>
          <w:rFonts w:ascii="Times New Roman" w:hAnsi="Times New Roman"/>
          <w:b/>
          <w:color w:val="000000"/>
          <w:sz w:val="20"/>
        </w:rPr>
        <w:t>section beginning on page S-5 of this prospectus supplement and page 3 of the accompanying prospectus, as well as our other filings that are incorporated by reference into this prospectus supplement and the accompanying prospectus.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Neither the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w:t>
      </w:r>
    </w:p>
    <w:p>
      <w:pPr>
        <w:pStyle w:val="TextBody"/>
        <w:bidi w:val="0"/>
        <w:jc w:val="left"/>
        <w:rPr/>
      </w:pPr>
      <w:r>
        <w:rPr/>
        <w:t> </w:t>
      </w:r>
    </w:p>
    <w:tbl>
      <w:tblPr>
        <w:tblW w:w="5466" w:type="dxa"/>
        <w:jc w:val="left"/>
        <w:tblInd w:w="0" w:type="dxa"/>
        <w:tblLayout w:type="fixed"/>
        <w:tblCellMar>
          <w:top w:w="28" w:type="dxa"/>
          <w:left w:w="28" w:type="dxa"/>
          <w:bottom w:w="28" w:type="dxa"/>
          <w:right w:w="28" w:type="dxa"/>
        </w:tblCellMar>
      </w:tblPr>
      <w:tblGrid>
        <w:gridCol w:w="2701"/>
        <w:gridCol w:w="109"/>
        <w:gridCol w:w="211"/>
        <w:gridCol w:w="676"/>
        <w:gridCol w:w="109"/>
        <w:gridCol w:w="109"/>
        <w:gridCol w:w="211"/>
        <w:gridCol w:w="1186"/>
        <w:gridCol w:w="154"/>
      </w:tblGrid>
      <w:tr>
        <w:trPr/>
        <w:tc>
          <w:tcPr>
            <w:tcW w:w="2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ADS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4,375,000.00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Placement agent’s fees </w:t>
            </w:r>
            <w:r>
              <w:rPr>
                <w:rFonts w:ascii="Times New Roman" w:hAnsi="Times New Roman"/>
                <w:color w:val="000000"/>
                <w:sz w:val="13"/>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295,312.50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before expenses, to us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4,079,687.50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We will pay the Placement Agent a cash fee equal to 6.75% of the aggregate gross proceeds received by the Company from the sale of the ADSs in this offering, and certain expenses incurred in this offering. See “Plan of Distribution” on page S-11 of this prospectus supplement for more information regarding the compensation to the Placement Agent.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the initial delivery of the ADSs being offered pursuant to this prospectus supplement and the accompanying prospectus will be made on or about June 29, 2026, subject to customary closing conditions.</w:t>
      </w:r>
    </w:p>
    <w:p>
      <w:pPr>
        <w:pStyle w:val="TextBody"/>
        <w:bidi w:val="0"/>
        <w:spacing w:before="240" w:after="283"/>
        <w:jc w:val="center"/>
        <w:rPr>
          <w:rFonts w:ascii="Times New Roman" w:hAnsi="Times New Roman"/>
          <w:i/>
          <w:color w:val="000000"/>
          <w:sz w:val="22"/>
        </w:rPr>
      </w:pPr>
      <w:r>
        <w:rPr>
          <w:rFonts w:ascii="Times New Roman" w:hAnsi="Times New Roman"/>
          <w:i/>
          <w:color w:val="000000"/>
          <w:sz w:val="22"/>
        </w:rPr>
        <w:t>Sole Placement Agent</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A.G.P.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date of this prospectus supplement is June 25,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PROSPECTUS SUPPLEMENT</w:t>
      </w:r>
    </w:p>
    <w:p>
      <w:pPr>
        <w:pStyle w:val="TextBody"/>
        <w:bidi w:val="0"/>
        <w:jc w:val="left"/>
        <w:rPr/>
      </w:pPr>
      <w:r>
        <w:rPr/>
        <w:t> </w:t>
      </w:r>
    </w:p>
    <w:tbl>
      <w:tblPr>
        <w:tblW w:w="7037" w:type="dxa"/>
        <w:jc w:val="left"/>
        <w:tblInd w:w="0" w:type="dxa"/>
        <w:tblLayout w:type="fixed"/>
        <w:tblCellMar>
          <w:top w:w="28" w:type="dxa"/>
          <w:left w:w="28" w:type="dxa"/>
          <w:bottom w:w="28" w:type="dxa"/>
          <w:right w:w="28" w:type="dxa"/>
        </w:tblCellMar>
      </w:tblPr>
      <w:tblGrid>
        <w:gridCol w:w="6331"/>
        <w:gridCol w:w="706"/>
      </w:tblGrid>
      <w:tr>
        <w:trPr/>
        <w:tc>
          <w:tcPr>
            <w:tcW w:w="633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PAGES</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about_this_prospectus_supplement">
              <w:r>
                <w:rPr>
                  <w:rStyle w:val="InternetLink"/>
                  <w:rFonts w:ascii="Times New Roman" w:hAnsi="Times New Roman"/>
                  <w:color w:val="0000FF"/>
                  <w:sz w:val="20"/>
                  <w:u w:val="single"/>
                </w:rPr>
                <w:t>ABOUT THIS PROSPECTUS SUPPLEMENT</w:t>
              </w:r>
            </w:hyperlink>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w:t>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Times New Roman" w:hAnsi="Times New Roman"/>
                  <w:caps/>
                  <w:color w:val="0000FF"/>
                  <w:sz w:val="20"/>
                  <w:u w:val="single"/>
                </w:rPr>
                <w:t>CAUTIONARY</w:t>
              </w:r>
            </w:hyperlink>
            <w:hyperlink w:anchor="special_note_regarding_forward_looking">
              <w:r>
                <w:rPr>
                  <w:rStyle w:val="InternetLink"/>
                  <w:rFonts w:ascii="Times New Roman" w:hAnsi="Times New Roman"/>
                  <w:color w:val="0000FF"/>
                  <w:sz w:val="20"/>
                  <w:u w:val="single"/>
                </w:rPr>
                <w:t xml:space="preserve"> NOTE REGARDING FORWARD-LOOKING STATEMENTS</w:t>
              </w:r>
            </w:hyperlink>
          </w:p>
        </w:tc>
        <w:tc>
          <w:tcPr>
            <w:tcW w:w="7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S-iii</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rospectus_supplement_summary_">
              <w:r>
                <w:rPr>
                  <w:rStyle w:val="InternetLink"/>
                  <w:rFonts w:ascii="Times New Roman" w:hAnsi="Times New Roman"/>
                  <w:color w:val="0000FF"/>
                  <w:sz w:val="20"/>
                  <w:u w:val="single"/>
                </w:rPr>
                <w:t>PROSPECTUS SUPPLEMENT SUMMARY</w:t>
              </w:r>
            </w:hyperlink>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w:t>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hyperlink w:anchor="the_offering">
              <w:r>
                <w:rPr>
                  <w:rStyle w:val="InternetLink"/>
                  <w:rFonts w:ascii="Times New Roman" w:hAnsi="Times New Roman"/>
                  <w:color w:val="0000FF"/>
                  <w:sz w:val="20"/>
                  <w:u w:val="single"/>
                </w:rPr>
                <w:t>THE OFFERING</w:t>
              </w:r>
            </w:hyperlink>
          </w:p>
        </w:tc>
        <w:tc>
          <w:tcPr>
            <w:tcW w:w="7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S-4</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S-6</w:t>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7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S-7</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dividend_policy">
              <w:r>
                <w:rPr>
                  <w:rStyle w:val="InternetLink"/>
                  <w:rFonts w:ascii="Times New Roman" w:hAnsi="Times New Roman"/>
                  <w:color w:val="0000FF"/>
                  <w:sz w:val="20"/>
                  <w:u w:val="single"/>
                </w:rPr>
                <w:t>DIVIDEND POLICY</w:t>
              </w:r>
            </w:hyperlink>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S-8</w:t>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hyperlink w:anchor="capitalization">
              <w:r>
                <w:rPr>
                  <w:rStyle w:val="InternetLink"/>
                  <w:rFonts w:ascii="Times New Roman" w:hAnsi="Times New Roman"/>
                  <w:color w:val="0000FF"/>
                  <w:sz w:val="20"/>
                  <w:u w:val="single"/>
                </w:rPr>
                <w:t>CAPITALIZATION</w:t>
              </w:r>
            </w:hyperlink>
          </w:p>
        </w:tc>
        <w:tc>
          <w:tcPr>
            <w:tcW w:w="7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S-9</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dilution">
              <w:r>
                <w:rPr>
                  <w:rStyle w:val="InternetLink"/>
                  <w:rFonts w:ascii="Times New Roman" w:hAnsi="Times New Roman"/>
                  <w:color w:val="0000FF"/>
                  <w:sz w:val="20"/>
                  <w:u w:val="single"/>
                </w:rPr>
                <w:t>DILUTION</w:t>
              </w:r>
            </w:hyperlink>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S-10</w:t>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hyperlink w:anchor="plan_of_distribution">
              <w:r>
                <w:rPr>
                  <w:rStyle w:val="InternetLink"/>
                  <w:rFonts w:ascii="Times New Roman" w:hAnsi="Times New Roman"/>
                  <w:color w:val="0000FF"/>
                  <w:sz w:val="20"/>
                  <w:u w:val="single"/>
                </w:rPr>
                <w:t>PLAN OF DISTRIBUTION</w:t>
              </w:r>
            </w:hyperlink>
          </w:p>
        </w:tc>
        <w:tc>
          <w:tcPr>
            <w:tcW w:w="7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S-11</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S-13</w:t>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7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S-13</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S-14</w:t>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hyperlink w:anchor="incorporation_of_certain_information_by">
              <w:r>
                <w:rPr>
                  <w:rStyle w:val="InternetLink"/>
                  <w:rFonts w:ascii="Times New Roman" w:hAnsi="Times New Roman"/>
                  <w:color w:val="0000FF"/>
                  <w:sz w:val="20"/>
                  <w:u w:val="single"/>
                </w:rPr>
                <w:t>INCORPORATION OF CERTAIN INFORMATION BY REFERENCE</w:t>
              </w:r>
            </w:hyperlink>
          </w:p>
        </w:tc>
        <w:tc>
          <w:tcPr>
            <w:tcW w:w="7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S-15</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bidi w:val="0"/>
        <w:jc w:val="left"/>
        <w:rPr/>
      </w:pPr>
      <w:r>
        <w:rPr/>
        <w:t> </w:t>
      </w:r>
    </w:p>
    <w:tbl>
      <w:tblPr>
        <w:tblW w:w="8492" w:type="dxa"/>
        <w:jc w:val="left"/>
        <w:tblInd w:w="0" w:type="dxa"/>
        <w:tblLayout w:type="fixed"/>
        <w:tblCellMar>
          <w:top w:w="28" w:type="dxa"/>
          <w:left w:w="28" w:type="dxa"/>
          <w:bottom w:w="28" w:type="dxa"/>
          <w:right w:w="28" w:type="dxa"/>
        </w:tblCellMar>
      </w:tblPr>
      <w:tblGrid>
        <w:gridCol w:w="7876"/>
        <w:gridCol w:w="616"/>
      </w:tblGrid>
      <w:tr>
        <w:trPr/>
        <w:tc>
          <w:tcPr>
            <w:tcW w:w="787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87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8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_">
              <w:r>
                <w:rPr>
                  <w:rStyle w:val="InternetLink"/>
                  <w:rFonts w:ascii="Times New Roman" w:hAnsi="Times New Roman"/>
                  <w:color w:val="0000FF"/>
                  <w:sz w:val="20"/>
                  <w:u w:val="single"/>
                </w:rPr>
                <w:t>SPECIAL NOTE REGARDING FORWARD-LOOKING STATEMENTS AND INDUSTRY DATA</w:t>
              </w:r>
            </w:hyperlink>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w:t>
            </w:r>
          </w:p>
        </w:tc>
      </w:tr>
      <w:tr>
        <w:trPr/>
        <w:tc>
          <w:tcPr>
            <w:tcW w:w="7876" w:type="dxa"/>
            <w:tcBorders/>
            <w:tcMar>
              <w:top w:w="0" w:type="dxa"/>
              <w:left w:w="0" w:type="dxa"/>
              <w:bottom w:w="0" w:type="dxa"/>
              <w:right w:w="0" w:type="dxa"/>
            </w:tcMar>
            <w:vAlign w:val="center"/>
          </w:tcPr>
          <w:p>
            <w:pPr>
              <w:pStyle w:val="TableContents"/>
              <w:bidi w:val="0"/>
              <w:spacing w:before="0" w:after="283"/>
              <w:jc w:val="left"/>
              <w:rPr/>
            </w:pPr>
            <w:hyperlink w:anchor="the_company">
              <w:r>
                <w:rPr>
                  <w:rStyle w:val="InternetLink"/>
                  <w:rFonts w:ascii="Times New Roman" w:hAnsi="Times New Roman"/>
                  <w:color w:val="0000FF"/>
                  <w:sz w:val="20"/>
                  <w:u w:val="single"/>
                </w:rPr>
                <w:t>THE COMPANY</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8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corporate_information">
              <w:r>
                <w:rPr>
                  <w:rStyle w:val="InternetLink"/>
                  <w:rFonts w:ascii="Times New Roman" w:hAnsi="Times New Roman"/>
                  <w:color w:val="0000FF"/>
                  <w:sz w:val="20"/>
                  <w:u w:val="single"/>
                </w:rPr>
                <w:t>CORPORATE INFORMATION</w:t>
              </w:r>
            </w:hyperlink>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876" w:type="dxa"/>
            <w:tcBorders/>
            <w:tcMar>
              <w:top w:w="0" w:type="dxa"/>
              <w:left w:w="0" w:type="dxa"/>
              <w:bottom w:w="0" w:type="dxa"/>
              <w:right w:w="0" w:type="dxa"/>
            </w:tcMar>
            <w:vAlign w:val="center"/>
          </w:tcPr>
          <w:p>
            <w:pPr>
              <w:pStyle w:val="TableContents"/>
              <w:bidi w:val="0"/>
              <w:spacing w:before="0" w:after="283"/>
              <w:jc w:val="left"/>
              <w:rPr/>
            </w:pPr>
            <w:hyperlink w:anchor="risk_factors_">
              <w:r>
                <w:rPr>
                  <w:rStyle w:val="InternetLink"/>
                  <w:rFonts w:ascii="Times New Roman" w:hAnsi="Times New Roman"/>
                  <w:color w:val="0000FF"/>
                  <w:sz w:val="20"/>
                  <w:u w:val="single"/>
                </w:rPr>
                <w:t>RISK FACTORS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8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use_of_proceeds_">
              <w:r>
                <w:rPr>
                  <w:rStyle w:val="InternetLink"/>
                  <w:rFonts w:ascii="Times New Roman" w:hAnsi="Times New Roman"/>
                  <w:color w:val="0000FF"/>
                  <w:sz w:val="20"/>
                  <w:u w:val="single"/>
                </w:rPr>
                <w:t>USE OF PROCEEDS</w:t>
              </w:r>
            </w:hyperlink>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876" w:type="dxa"/>
            <w:tcBorders/>
            <w:tcMar>
              <w:top w:w="0" w:type="dxa"/>
              <w:left w:w="0" w:type="dxa"/>
              <w:bottom w:w="0" w:type="dxa"/>
              <w:right w:w="0" w:type="dxa"/>
            </w:tcMar>
            <w:vAlign w:val="center"/>
          </w:tcPr>
          <w:p>
            <w:pPr>
              <w:pStyle w:val="TableContents"/>
              <w:bidi w:val="0"/>
              <w:spacing w:before="0" w:after="283"/>
              <w:jc w:val="left"/>
              <w:rPr/>
            </w:pPr>
            <w:hyperlink w:anchor="description_of_share_capital">
              <w:r>
                <w:rPr>
                  <w:rStyle w:val="InternetLink"/>
                  <w:rFonts w:ascii="Times New Roman" w:hAnsi="Times New Roman"/>
                  <w:color w:val="0000FF"/>
                  <w:sz w:val="20"/>
                  <w:u w:val="single"/>
                </w:rPr>
                <w:t>DESCRIPTION OF SHARE CAPITAL</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8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description_of_american_depositary_sha">
              <w:r>
                <w:rPr>
                  <w:rStyle w:val="InternetLink"/>
                  <w:rFonts w:ascii="Times New Roman" w:hAnsi="Times New Roman"/>
                  <w:color w:val="0000FF"/>
                  <w:sz w:val="20"/>
                  <w:u w:val="single"/>
                </w:rPr>
                <w:t>DESCRIPTION OF AMERICAN DEPOSITARY SHARES</w:t>
              </w:r>
            </w:hyperlink>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7876" w:type="dxa"/>
            <w:tcBorders/>
            <w:tcMar>
              <w:top w:w="0" w:type="dxa"/>
              <w:left w:w="0" w:type="dxa"/>
              <w:bottom w:w="0" w:type="dxa"/>
              <w:right w:w="0" w:type="dxa"/>
            </w:tcMar>
            <w:vAlign w:val="center"/>
          </w:tcPr>
          <w:p>
            <w:pPr>
              <w:pStyle w:val="TableContents"/>
              <w:bidi w:val="0"/>
              <w:spacing w:before="0" w:after="283"/>
              <w:jc w:val="left"/>
              <w:rPr/>
            </w:pPr>
            <w:hyperlink w:anchor="description_of_warrants">
              <w:r>
                <w:rPr>
                  <w:rStyle w:val="InternetLink"/>
                  <w:rFonts w:ascii="Times New Roman" w:hAnsi="Times New Roman"/>
                  <w:color w:val="0000FF"/>
                  <w:sz w:val="20"/>
                  <w:u w:val="single"/>
                </w:rPr>
                <w:t>DESCRIPTION OF WARRANTS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8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description_of_units">
              <w:r>
                <w:rPr>
                  <w:rStyle w:val="InternetLink"/>
                  <w:rFonts w:ascii="Times New Roman" w:hAnsi="Times New Roman"/>
                  <w:color w:val="0000FF"/>
                  <w:sz w:val="20"/>
                  <w:u w:val="single"/>
                </w:rPr>
                <w:t>DESCRIPTION OF UNITS</w:t>
              </w:r>
            </w:hyperlink>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876" w:type="dxa"/>
            <w:tcBorders/>
            <w:tcMar>
              <w:top w:w="0" w:type="dxa"/>
              <w:left w:w="0" w:type="dxa"/>
              <w:bottom w:w="0" w:type="dxa"/>
              <w:right w:w="0" w:type="dxa"/>
            </w:tcMar>
            <w:vAlign w:val="center"/>
          </w:tcPr>
          <w:p>
            <w:pPr>
              <w:pStyle w:val="TableContents"/>
              <w:bidi w:val="0"/>
              <w:spacing w:before="0" w:after="283"/>
              <w:jc w:val="left"/>
              <w:rPr/>
            </w:pPr>
            <w:hyperlink w:anchor="description_of_rights">
              <w:r>
                <w:rPr>
                  <w:rStyle w:val="InternetLink"/>
                  <w:rFonts w:ascii="Times New Roman" w:hAnsi="Times New Roman"/>
                  <w:color w:val="0000FF"/>
                  <w:sz w:val="20"/>
                  <w:u w:val="single"/>
                </w:rPr>
                <w:t>DESCRIPTION OF RIGHTS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8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description_of_debt_securities">
              <w:r>
                <w:rPr>
                  <w:rStyle w:val="InternetLink"/>
                  <w:rFonts w:ascii="Times New Roman" w:hAnsi="Times New Roman"/>
                  <w:color w:val="0000FF"/>
                  <w:sz w:val="20"/>
                  <w:u w:val="single"/>
                </w:rPr>
                <w:t>DESCRIPTION OF DEBT SECURITIES</w:t>
              </w:r>
            </w:hyperlink>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876" w:type="dxa"/>
            <w:tcBorders/>
            <w:tcMar>
              <w:top w:w="0" w:type="dxa"/>
              <w:left w:w="0" w:type="dxa"/>
              <w:bottom w:w="0" w:type="dxa"/>
              <w:right w:w="0" w:type="dxa"/>
            </w:tcMar>
            <w:vAlign w:val="center"/>
          </w:tcPr>
          <w:p>
            <w:pPr>
              <w:pStyle w:val="TableContents"/>
              <w:bidi w:val="0"/>
              <w:spacing w:before="0" w:after="283"/>
              <w:jc w:val="left"/>
              <w:rPr/>
            </w:pPr>
            <w:hyperlink w:anchor="plan_of_distribution_">
              <w:r>
                <w:rPr>
                  <w:rStyle w:val="InternetLink"/>
                  <w:rFonts w:ascii="Times New Roman" w:hAnsi="Times New Roman"/>
                  <w:color w:val="0000FF"/>
                  <w:sz w:val="20"/>
                  <w:u w:val="single"/>
                </w:rPr>
                <w:t>PLAN OF DISTRIBUTION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legal_matters_">
              <w:r>
                <w:rPr>
                  <w:rStyle w:val="InternetLink"/>
                  <w:rFonts w:ascii="Times New Roman" w:hAnsi="Times New Roman"/>
                  <w:color w:val="0000FF"/>
                  <w:sz w:val="20"/>
                  <w:u w:val="single"/>
                </w:rPr>
                <w:t>LEGAL MATTERS</w:t>
              </w:r>
            </w:hyperlink>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876" w:type="dxa"/>
            <w:tcBorders/>
            <w:tcMar>
              <w:top w:w="0" w:type="dxa"/>
              <w:left w:w="0" w:type="dxa"/>
              <w:bottom w:w="0" w:type="dxa"/>
              <w:right w:w="0" w:type="dxa"/>
            </w:tcMar>
            <w:vAlign w:val="center"/>
          </w:tcPr>
          <w:p>
            <w:pPr>
              <w:pStyle w:val="TableContents"/>
              <w:bidi w:val="0"/>
              <w:spacing w:before="0" w:after="283"/>
              <w:jc w:val="left"/>
              <w:rPr/>
            </w:pPr>
            <w:hyperlink w:anchor="experts_">
              <w:r>
                <w:rPr>
                  <w:rStyle w:val="InternetLink"/>
                  <w:rFonts w:ascii="Times New Roman" w:hAnsi="Times New Roman"/>
                  <w:color w:val="0000FF"/>
                  <w:sz w:val="20"/>
                  <w:u w:val="single"/>
                </w:rPr>
                <w:t>EXPERTS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8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enforceability_of_civil_liabilities">
              <w:r>
                <w:rPr>
                  <w:rStyle w:val="InternetLink"/>
                  <w:rFonts w:ascii="Times New Roman" w:hAnsi="Times New Roman"/>
                  <w:color w:val="0000FF"/>
                  <w:sz w:val="20"/>
                  <w:u w:val="single"/>
                </w:rPr>
                <w:t>ENFORCEABILITY OF CIVIL LIABILITIES</w:t>
              </w:r>
            </w:hyperlink>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876" w:type="dxa"/>
            <w:tcBorders/>
            <w:tcMar>
              <w:top w:w="0" w:type="dxa"/>
              <w:left w:w="0" w:type="dxa"/>
              <w:bottom w:w="0" w:type="dxa"/>
              <w:right w:w="0" w:type="dxa"/>
            </w:tcMar>
            <w:vAlign w:val="center"/>
          </w:tcPr>
          <w:p>
            <w:pPr>
              <w:pStyle w:val="TableContents"/>
              <w:bidi w:val="0"/>
              <w:spacing w:before="0" w:after="283"/>
              <w:jc w:val="left"/>
              <w:rPr/>
            </w:pPr>
            <w:hyperlink w:anchor="where_you_can_find_additional_informatio">
              <w:r>
                <w:rPr>
                  <w:rStyle w:val="InternetLink"/>
                  <w:rFonts w:ascii="Times New Roman" w:hAnsi="Times New Roman"/>
                  <w:color w:val="0000FF"/>
                  <w:sz w:val="20"/>
                  <w:u w:val="single"/>
                </w:rPr>
                <w:t>WHERE YOU CAN FIND ADDITIONAL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8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ncorporation_of_certain_documents_by">
              <w:r>
                <w:rPr>
                  <w:rStyle w:val="InternetLink"/>
                  <w:rFonts w:ascii="Times New Roman" w:hAnsi="Times New Roman"/>
                  <w:color w:val="0000FF"/>
                  <w:sz w:val="20"/>
                  <w:u w:val="single"/>
                </w:rPr>
                <w:t>INCORPORATION OF CERTAIN DOCUMENTS BY REFERENCE</w:t>
              </w:r>
            </w:hyperlink>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about_this_prospectus_supplement"/>
      <w:bookmarkEnd w:id="2"/>
      <w:r>
        <w:rPr>
          <w:rFonts w:ascii="Times New Roman" w:hAnsi="Times New Roman"/>
          <w:b/>
          <w:color w:val="000000"/>
          <w:sz w:val="20"/>
        </w:rPr>
        <w:t>ABOUT THIS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supplement and the accompanying prospectus are part of a registration statement that we filed with the SEC utilizing a “shelf” registration process. Under this shelf registration process, we may sell the securities described in our base prospectus included in the shelf registration statement in one or more offerings up to a total aggregate offering price of $250,000,000. We sometimes refer to the ADSs as the “securities” throughout this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supplement relates to the offer and sale of 7,000,000 ADSs at a purchase price of $0.625 per ADS pursuant to the Securities Purchase Agreement, dated as of June 25, 2026, between the Company and the purchasers identified on the signature pages thereto. This document is the first part of a two-part registration statement. The second part is the shelf registration statement on Form F-3, as amended (File No. 333-292266) that the SEC declared effective on January 29, 2026. Generally, when we refer to this prospectus, we are referring to all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includes or incorporates by reference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presenting this information, we have made certain assumptions that we believe to be reasonable based on such data and other similar sources and on our knowledge of, and our experience to date in, the markets in which we operate. Market and industry data, which is derived in part from management’s estimates and beliefs,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or incorporated by reference in “Risk Factors” and “Special Note Regarding Forward-Looking Statements and Industry Data.” These and other factors could cause results to differ materially from those expressed in the estimates made by third parties and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own or have rights to certain trademarks that we use in conjunction with the operations of our business. Each trademark, trade name, service mark or copyright of any other company appearing or incorporated by reference into this prospectus belongs to its holder. Solely for convenience, trademarks, trade names, service marks and copyrights referred to in this prospectus may appear with or without the “©”, “®” or “” symbols, but the inclusion, or not, of such references are not intended to indicate, in any way, that we, or the applicable owner, will not assert, to the fullest extent possible under applicable law, our or their, as applicable, rights to these trademarks, trade names service marks or copyrights. We do not intend our use or display of other companies’ trademarks, trade names, service marks or copyrights to imply a relationship with, or endorsement or sponsorship of us by, such other companies. </w:t>
      </w:r>
    </w:p>
    <w:p>
      <w:pPr>
        <w:pStyle w:val="TextBody"/>
        <w:bidi w:val="0"/>
        <w:jc w:val="center"/>
        <w:rPr>
          <w:rFonts w:ascii="Times New Roman" w:hAnsi="Times New Roman"/>
          <w:color w:val="000000"/>
          <w:sz w:val="20"/>
        </w:rPr>
      </w:pPr>
      <w:r>
        <w:rPr>
          <w:rFonts w:ascii="Times New Roman" w:hAnsi="Times New Roman"/>
          <w:color w:val="000000"/>
          <w:sz w:val="20"/>
        </w:rPr>
        <w:t>S-i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rely only on the information contained in this prospectus supplement or the accompanying prospectus, or incorporated by reference herein. We have not authorized anyone to provide you with information that is different. No dealer, salesperson or other person is authorized to give any information or to represent anything not contained in or incorporated by reference into this prospectus supplement and the accompanying prospectus, and you must not rely upon any information or representation not contained in or incorporated by reference into this prospectus supplement or the accompanying prospectus.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the ADSs.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“Incorporation of Certain Information by Reference” in the accompanying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offering to sell, and seeking offers to buy, the securities offered by this prospectus supplement only in jurisdictions where offers and sales are permitted. The distribution of this prospectus supplement and the accompanying prospectus and the offering of the securities offered by this prospectus supplement in certain jurisdictions may be restricted by law. Persons outside the United States who come into possession of this prospectus supplement and the accompanying prospectus must inform themselves about, and observe any restrictions relating to, the offering of the ADSs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prospectus supplement, “we,” “us,” “our,” the “Company” and “XCHG” refer to XCHG Limited, a Cayman Islands exempted company, and its consolidated subsidiaries.</w:t>
      </w:r>
    </w:p>
    <w:p>
      <w:pPr>
        <w:pStyle w:val="TextBody"/>
        <w:bidi w:val="0"/>
        <w:jc w:val="center"/>
        <w:rPr>
          <w:rFonts w:ascii="Times New Roman" w:hAnsi="Times New Roman"/>
          <w:color w:val="000000"/>
          <w:sz w:val="20"/>
        </w:rPr>
      </w:pPr>
      <w:r>
        <w:rPr>
          <w:rFonts w:ascii="Times New Roman" w:hAnsi="Times New Roman"/>
          <w:color w:val="000000"/>
          <w:sz w:val="20"/>
        </w:rPr>
        <w:t>S-ii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special_note_regarding_forward_looking"/>
      <w:bookmarkEnd w:id="3"/>
      <w:r>
        <w:rPr>
          <w:rFonts w:ascii="Times New Roman" w:hAnsi="Times New Roman"/>
          <w:b/>
          <w:color w:val="000000"/>
          <w:sz w:val="20"/>
        </w:rPr>
        <w:t>SPECIAL NOTE REGARDING FORWARD-LOOKING STATEMENTS AND INDUSTRY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supplement, the accompanying prospectus and the documents incorporated by reference in this prospectus supplement and the accompanying prospectus contain forward-looking statements within the meaning of the safe harbor provision of the United States Private Securities Litigation Reform Act of 1995 and releases issued by the SEC and within the meaning of Section 27A of the Securities Act and Section 21E of the Exchange Act. These forward-looking statements include information concerning possible or projected future results of our operations, including statements about potential acquisition or merger targets, strategies or plans; business strategies; prospects; future cash flows; financing plans; plans and objectives of management; any other statements regarding future cash needs, future operations, business plans and future financial results; and any other statements that are not historical facts. Many of the forward-looking statements contained in this prospectus supplement, the accompanying prospectus and the documents incorporated by reference in this prospectus supplement and the accompanying prospectus can be identified by the use of forward-looking words such as “anticipate,” “believe,” “could,” “expect,” “should,” “plan,” “intend,” “estimate,” “potential” and other words and terms of similar meaning or the negative of such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appear in a number of places in this prospectus supplement, the accompanying prospectus and the documents incorporated by reference into this prospectus supplement and the accompanying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included or incorporated by reference under the section entitled “Risk Factors” in this prospectus supplement, the accompanying prospectus. These risks and uncertainties include factors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goals and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development and introduction, and market acceptance, of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business development,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growth in, and market size of, the global EV charger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changes in our revenue, costs or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demand for and market acceptance of our brand,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growth in our customers and level of engagement;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retain and monetize our customer base;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develop new technologies and/or upgrade our existing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regarding the use of proceeds from this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growth of and trends of competition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policies and regulations relating to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business conditions of the markets in which we have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pStyle w:val="TextBody"/>
        <w:bidi w:val="0"/>
        <w:jc w:val="center"/>
        <w:rPr>
          <w:rFonts w:ascii="Times New Roman" w:hAnsi="Times New Roman"/>
          <w:color w:val="000000"/>
          <w:sz w:val="20"/>
        </w:rPr>
      </w:pPr>
      <w:r>
        <w:rPr>
          <w:rFonts w:ascii="Times New Roman" w:hAnsi="Times New Roman"/>
          <w:color w:val="000000"/>
          <w:sz w:val="20"/>
        </w:rPr>
        <w:t>S-iii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rospectus_supplement_summary_"/>
      <w:bookmarkEnd w:id="4"/>
      <w:r>
        <w:rPr>
          <w:rFonts w:ascii="Times New Roman" w:hAnsi="Times New Roman"/>
          <w:b/>
          <w:color w:val="000000"/>
          <w:sz w:val="20"/>
        </w:rPr>
        <w:t>PROSPECTUS SUPPLEMENT SUMMARY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summary highlights selected information about us, this offering and information appearing elsewhere in this prospectus supplement, in the accompanying prospectus and in the documents incorporated by reference herein and therein. This summary is not complete and does not contain all the information you should consider before investing in our securities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the financial statements, and related notes, and the other information incorporated by reference herein and therein.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When used herein, unless the context requires otherwise, references to “XCHG”, the “Company,” “our company”, “we”, “our”, and “us” refer to XCHG Limited, a Cayman Islands exempted company, and its consolidated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offer comprehensive electric vehicle (“EV”) charging solutions which primarily include the direct current (“DC”) fast chargers named the C6 series and the C7 series, the advanced battery-integrated DC fast chargers including Net Zero Series (“NZS”) and GridLink (designed specifically for the North American grid), as well as our accompanying services. Our integrated solution combining proprietary charging technology, energy storage technology and accompanying services significantly improves EV charging efficiency and unlocks the value of energy storage and management. We were a leading high power charger supplier in Europe by sales volume in 2025. As of the date of this prospectus supplement, we have begun the commercial deployment of our NZS solution in Europe, the Americas and Asia. Customers of NZS solutions include EV manufacturers, global energy players and charge point operators.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pioneer in the EV charger industry, we believe EV charging is essentially an energy management business that uses innovative technologies and creative solutions to tackle energy problems. Leveraging our established fast charging technology, as well as our in-house proprietary energy storage system technology, we have pioneered unique advanced battery-integrated EV charging solutions, including NZS and GridLink. NZS and GridLink chargers integrate DC fast chargers with lithium-ion batteries and our proprietary energy management system (“EMS”) storing power when it is generally more available (for example, during nighttime) and discharging power when the demand is high (for example, during daytime).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NZS and GridLink solutions enable fast charging at low power locations or vis-à-vis aged grid infrastructures (which typically are not compatible with fast charging equipment) with no significant site improvements or grid upgrades needed. With the unique “plug-and-play” design, our NZS and GridLink chargers are easy to install and highly deployable in locations where conventional fast chargers cannot be installed, for example national parks, parking lots or communities with insufficient power capacity. Therefore, we believe that our battery-integrated solutions are able to address a larger market, which cannot be reached by conventional fast chargers.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NZS and GridLink solutions are designed with a Battery-to-Grid (“B2G”) function. It enables energy to be purchased during off-peak hours at lower prices, and sold back to the grid during peak hours at higher prices, enabling operators to generate profit even if no vehicle is charging. With this unique feature, our customers can achieve a return even before considering the utilization of the EV charger itself. This increases the overall return on investment for our customers. At the core of our NZS and GridLink solutions is our proprietary energy management system, which automatically optimizes energy supply and usage across the grids, batteries and EVs.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pursue the digitalization of EV charging solutions, our proprietary software system aims to provide customers with comprehensive solutions catering to different and evolving needs in the EV era, as well as to offer superior user experience. Our software system features an intuitive user interface, where our customers can monitor and control every key detail of the charging network easily, including real-time safety monitoring, traffic settings, and data analysis. We offer upgrades to our software system over-the-air to provide more functions and enhance user experience.</w:t>
      </w:r>
    </w:p>
    <w:p>
      <w:pPr>
        <w:pStyle w:val="TextBody"/>
        <w:bidi w:val="0"/>
        <w:jc w:val="center"/>
        <w:rPr>
          <w:rFonts w:ascii="Times New Roman" w:hAnsi="Times New Roman"/>
          <w:color w:val="000000"/>
          <w:sz w:val="20"/>
        </w:rPr>
      </w:pPr>
      <w:r>
        <w:rPr>
          <w:rFonts w:ascii="Times New Roman" w:hAnsi="Times New Roman"/>
          <w:color w:val="000000"/>
          <w:sz w:val="20"/>
        </w:rPr>
        <w:t>S-1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“charger-as-a-service” business model enables us to achieve highly visible revenue streams from repeated purchases from our blue-chip customers. Complementary to the initial sales of products, we generate recurring revenue from the accompanying services throughout the entire life cycle. As the number of installed chargers grows, we expect recurring revenue to account for an increasing portion of our total revenue. In addition, our NZS and GridLink solutions are expected to create new commercialization opportunities for us. For example, with the B2G function, NZS and GridLink chargers can sell energy back to the grid during peak hours.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established global presence with offices, research and development (“R&amp;D”) centers and sales centers in Europe, the Americas and Asia. We currently deploy our solutions primarily in Europe while we also recognize revenue from other regions, including the United States, PRC, Brazil and Chile.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Implications of Being An 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as amended (the “JOBS Act”). An emerging growth company may take advantage of specified exemptions from various requirements that are otherwise applicable generally to public companies in the United States.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disclosure about our executive compensation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exemption from the requirements to hold non-binding advisory votes on executive compensation and golden parachute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exemption from the auditor attestation requirement in the assessment of the emerging growth company’s internal control over financial reporting;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earliest to occur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the fiscal year in which we have annual gross revenues of $1.235 billion or more;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have issued more than $1.0 billion in non-convertible debt in the previous three years;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the fiscal year in which we are deemed to be a “large accelerated filer” under the Securities Exchange Act of 1934, as amended (the “Exchange Act”), which would occur if the market value of ADSs that is held by non-affiliates is $700.0 million or more as of the last business day of the second fiscal quarter of such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the fiscal year ending after the fifth anniversary of this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to take advantage of certain of the reduced disclosure obligations in this prospectus and may elect to take advantage of other reduced reporting requirements in future filings. As a result, the information that we provide to our investors may be different from the information you might receive from other public reporting companies that are not emerging growth companies in which you hold equity interests. It is possible that some investors will find ADSs less attractive as a result of our elections, which may cause a less active trading market for ADSs and more volatility in our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w:t>
      </w:r>
    </w:p>
    <w:p>
      <w:pPr>
        <w:pStyle w:val="TextBody"/>
        <w:bidi w:val="0"/>
        <w:jc w:val="center"/>
        <w:rPr>
          <w:rFonts w:ascii="Times New Roman" w:hAnsi="Times New Roman"/>
          <w:color w:val="000000"/>
          <w:sz w:val="20"/>
        </w:rPr>
      </w:pPr>
      <w:r>
        <w:rPr>
          <w:rFonts w:ascii="Times New Roman" w:hAnsi="Times New Roman"/>
          <w:color w:val="000000"/>
          <w:sz w:val="20"/>
        </w:rPr>
        <w:t>S-2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offices are located at XCharge Europe GmbH, Heselstücken 18, 22453 Hamburg, Germany and XCharge Energy USA Inc, 19121 Marketplace Avenue, Building 2-Suite 2-145, Kyle, TX 78640, United States. Our telephone numbers at these addresses are +49 4057128593 and +1 5122149159, respectively. Our registered office in Cayman Islands is at the offices of ICS Corporate Services (Cayman) Limited of Palm Grove Unit 4, 265 Smith Road, George Town, P.O. Box 52A Edgewater Way, #1653, Grand Cayman KY1-9006, Cayman Islands.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foreign private issuer under the Exchange Act, and as such we are exempt from certain provisions of the securities rules and regulations in the United States that are applicable to U.S. domestic issuers.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should contact us for any inquiries through the addresses and telephone numbers of our principal executive offices. Our website is https://xcharge.com/. The information contained on our website is not a part of this prospectus supplement.</w:t>
      </w:r>
    </w:p>
    <w:p>
      <w:pPr>
        <w:pStyle w:val="TextBody"/>
        <w:bidi w:val="0"/>
        <w:jc w:val="center"/>
        <w:rPr>
          <w:rFonts w:ascii="Times New Roman" w:hAnsi="Times New Roman"/>
          <w:color w:val="000000"/>
          <w:sz w:val="20"/>
        </w:rPr>
      </w:pPr>
      <w:r>
        <w:rPr>
          <w:rFonts w:ascii="Times New Roman" w:hAnsi="Times New Roman"/>
          <w:color w:val="000000"/>
          <w:sz w:val="20"/>
        </w:rPr>
        <w:t>S-3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the_offering"/>
      <w:bookmarkEnd w:id="5"/>
      <w:r>
        <w:rPr>
          <w:rFonts w:ascii="Times New Roman" w:hAnsi="Times New Roman"/>
          <w:b/>
          <w:color w:val="000000"/>
          <w:sz w:val="20"/>
        </w:rPr>
        <w:t>THE OFFERING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3"/>
        <w:gridCol w:w="146"/>
        <w:gridCol w:w="8496"/>
      </w:tblGrid>
      <w:tr>
        <w:trPr/>
        <w:tc>
          <w:tcPr>
            <w:tcW w:w="1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6" w:type="dxa"/>
            <w:tcBorders/>
            <w:vAlign w:val="center"/>
          </w:tcPr>
          <w:p>
            <w:pPr>
              <w:pStyle w:val="TableContents"/>
              <w:bidi w:val="0"/>
              <w:spacing w:before="0" w:after="283"/>
              <w:jc w:val="left"/>
              <w:rPr>
                <w:sz w:val="4"/>
                <w:szCs w:val="4"/>
              </w:rPr>
            </w:pPr>
            <w:r>
              <w:rPr>
                <w:sz w:val="4"/>
                <w:szCs w:val="4"/>
              </w:rPr>
            </w:r>
          </w:p>
        </w:tc>
      </w:tr>
      <w:tr>
        <w:trPr/>
        <w:tc>
          <w:tcPr>
            <w:tcW w:w="15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pPr>
            <w:r>
              <w:rPr/>
              <w:t> </w:t>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b/>
                <w:color w:val="000000"/>
                <w:sz w:val="20"/>
              </w:rPr>
            </w:pPr>
            <w:r>
              <w:rPr>
                <w:rFonts w:ascii="Times New Roman" w:hAnsi="Times New Roman"/>
                <w:b/>
                <w:color w:val="000000"/>
                <w:sz w:val="20"/>
              </w:rPr>
              <w:t>ADSs offered by 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7,000,000 ADSs, at a purchase price of $0.625 per ADS, for aggregate gross proceeds of $4,375,000, before deducting placement agent fees and estimated offering expenses payable by us.</w:t>
            </w:r>
          </w:p>
        </w:tc>
      </w:tr>
      <w:tr>
        <w:trPr/>
        <w:tc>
          <w:tcPr>
            <w:tcW w:w="15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sz w:val="4"/>
                <w:szCs w:val="4"/>
              </w:rPr>
            </w:pPr>
            <w:r>
              <w:rPr>
                <w:sz w:val="4"/>
                <w:szCs w:val="4"/>
              </w:rPr>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b/>
                <w:color w:val="000000"/>
                <w:sz w:val="20"/>
              </w:rPr>
            </w:pPr>
            <w:r>
              <w:rPr>
                <w:rFonts w:ascii="Times New Roman" w:hAnsi="Times New Roman"/>
                <w:b/>
                <w:color w:val="000000"/>
                <w:sz w:val="20"/>
              </w:rPr>
              <w:t>ADSs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color w:val="000000"/>
                <w:sz w:val="20"/>
              </w:rPr>
            </w:pPr>
            <w:r>
              <w:rPr>
                <w:rFonts w:ascii="Times New Roman" w:hAnsi="Times New Roman"/>
                <w:color w:val="000000"/>
                <w:sz w:val="20"/>
              </w:rPr>
              <w:t>Each ADS represents 40 Class A Ordinary Shares. The ADSs may be evidenced by American Depositary Receipts. The ADSs will be issued from time to time under the deposit agreement among us, The Bank of New York Mellon, as depositary (the “Depositary”), and all owners and holders from time to time of ADSs issued thereunder (the “Deposit Agreement”). The Depositary will hold the Class A Ordinary Shares underlying the ADSs through its custodian for the depository in Hong Kong, The Hongkong and Shanghai Banking Corporation Limited. To better understand the terms of the ADSs, you should carefully read the section in the accompanying prospectus entitled “Description of American Depositary Shares.” We also encourage you to read the Deposit Agreement referred to above, which is incorporated by reference as an exhibit to the registration statement that includes the accompanying prospectus.</w:t>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sz w:val="4"/>
                <w:szCs w:val="4"/>
              </w:rPr>
            </w:pPr>
            <w:r>
              <w:rPr>
                <w:sz w:val="4"/>
                <w:szCs w:val="4"/>
              </w:rPr>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b/>
                <w:color w:val="000000"/>
                <w:sz w:val="20"/>
              </w:rPr>
            </w:pPr>
            <w:r>
              <w:rPr>
                <w:rFonts w:ascii="Times New Roman" w:hAnsi="Times New Roman"/>
                <w:b/>
                <w:color w:val="000000"/>
                <w:sz w:val="20"/>
              </w:rPr>
              <w:t>Shares outstanding prior to the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3,261,147,362 Ordinary Shares outstanding as of the date of this prospectus supplement (equivalent to 81,528,684 ADSs), consisting of 2,519,892,915 Class A Ordinary Shares and 741,254,447 Class B Ordinary Shares.</w:t>
            </w:r>
          </w:p>
        </w:tc>
      </w:tr>
      <w:tr>
        <w:trPr/>
        <w:tc>
          <w:tcPr>
            <w:tcW w:w="15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pPr>
            <w:r>
              <w:rPr/>
              <w:t> </w:t>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b/>
                <w:color w:val="000000"/>
                <w:sz w:val="20"/>
              </w:rPr>
            </w:pPr>
            <w:r>
              <w:rPr>
                <w:rFonts w:ascii="Times New Roman" w:hAnsi="Times New Roman"/>
                <w:b/>
                <w:color w:val="000000"/>
                <w:sz w:val="20"/>
              </w:rPr>
              <w:t>Shares to be outstanding after this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88,528,684 ADSs outstanding after this offering, assuming the issuance of all 7,000,000 ADSs offered hereby.</w:t>
            </w:r>
          </w:p>
        </w:tc>
      </w:tr>
      <w:tr>
        <w:trPr/>
        <w:tc>
          <w:tcPr>
            <w:tcW w:w="15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sz w:val="4"/>
                <w:szCs w:val="4"/>
              </w:rPr>
            </w:pPr>
            <w:r>
              <w:rPr>
                <w:sz w:val="4"/>
                <w:szCs w:val="4"/>
              </w:rPr>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b/>
                <w:color w:val="000000"/>
                <w:sz w:val="20"/>
              </w:rPr>
            </w:pPr>
            <w:r>
              <w:rPr>
                <w:rFonts w:ascii="Times New Roman" w:hAnsi="Times New Roman"/>
                <w:b/>
                <w:color w:val="000000"/>
                <w:sz w:val="20"/>
              </w:rPr>
              <w:t>Use of proceeds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intend to use the net proceeds from this offering for working capital and general corporate purposes, which include financing our research and development, operations and capital expenditures. See “Use of Proceeds” on page S-7 of this prospectus supplement.</w:t>
            </w:r>
          </w:p>
        </w:tc>
      </w:tr>
      <w:tr>
        <w:trPr/>
        <w:tc>
          <w:tcPr>
            <w:tcW w:w="15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sz w:val="4"/>
                <w:szCs w:val="4"/>
              </w:rPr>
            </w:pPr>
            <w:r>
              <w:rPr>
                <w:sz w:val="4"/>
                <w:szCs w:val="4"/>
              </w:rPr>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b/>
                <w:color w:val="000000"/>
                <w:sz w:val="20"/>
              </w:rPr>
            </w:pPr>
            <w:r>
              <w:rPr>
                <w:rFonts w:ascii="Times New Roman" w:hAnsi="Times New Roman"/>
                <w:b/>
                <w:color w:val="000000"/>
                <w:sz w:val="20"/>
              </w:rPr>
              <w:t>Manner of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color w:val="000000"/>
                <w:sz w:val="20"/>
              </w:rPr>
            </w:pPr>
            <w:r>
              <w:rPr>
                <w:rFonts w:ascii="Times New Roman" w:hAnsi="Times New Roman"/>
                <w:color w:val="000000"/>
                <w:sz w:val="20"/>
              </w:rPr>
              <w:t>Registered direct offering pursuant to the Securities Purchase Agreement. See the section entitled “Plan of Distribution” on page S-11 of this prospectus supplement.</w:t>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sz w:val="4"/>
                <w:szCs w:val="4"/>
              </w:rPr>
            </w:pPr>
            <w:r>
              <w:rPr>
                <w:sz w:val="4"/>
                <w:szCs w:val="4"/>
              </w:rPr>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b/>
                <w:color w:val="000000"/>
                <w:sz w:val="20"/>
              </w:rPr>
            </w:pPr>
            <w:r>
              <w:rPr>
                <w:rFonts w:ascii="Times New Roman" w:hAnsi="Times New Roman"/>
                <w:b/>
                <w:color w:val="000000"/>
                <w:sz w:val="20"/>
              </w:rPr>
              <w:t>Depositary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Bank of New York Mellon.</w:t>
            </w:r>
          </w:p>
        </w:tc>
      </w:tr>
      <w:tr>
        <w:trPr/>
        <w:tc>
          <w:tcPr>
            <w:tcW w:w="15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sz w:val="4"/>
                <w:szCs w:val="4"/>
              </w:rPr>
            </w:pPr>
            <w:r>
              <w:rPr>
                <w:sz w:val="4"/>
                <w:szCs w:val="4"/>
              </w:rPr>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b/>
                <w:color w:val="000000"/>
                <w:sz w:val="20"/>
              </w:rPr>
            </w:pPr>
            <w:r>
              <w:rPr>
                <w:rFonts w:ascii="Times New Roman" w:hAnsi="Times New Roman"/>
                <w:b/>
                <w:color w:val="000000"/>
                <w:sz w:val="20"/>
              </w:rPr>
              <w:t>Risk factors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color w:val="000000"/>
                <w:sz w:val="20"/>
              </w:rPr>
            </w:pPr>
            <w:r>
              <w:rPr>
                <w:rFonts w:ascii="Times New Roman" w:hAnsi="Times New Roman"/>
                <w:color w:val="000000"/>
                <w:sz w:val="20"/>
              </w:rPr>
              <w:t>Investing in the ADSs involves a high degree of risk. You should read the “Risk Factors” section beginning on page S-5 of this prospectus supplement and in the documents incorporated by reference into this prospectus supplement for a discussion of factors to consider before deciding to purchase our securities.</w:t>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ind w:left="0" w:right="0" w:firstLine="207"/>
              <w:jc w:val="left"/>
              <w:rPr/>
            </w:pPr>
            <w:r>
              <w:rPr/>
              <w:t> </w:t>
            </w:r>
          </w:p>
        </w:tc>
      </w:tr>
      <w:tr>
        <w:trPr/>
        <w:tc>
          <w:tcPr>
            <w:tcW w:w="1563" w:type="dxa"/>
            <w:tcBorders/>
            <w:tcMar>
              <w:top w:w="0" w:type="dxa"/>
              <w:left w:w="0" w:type="dxa"/>
              <w:bottom w:w="0" w:type="dxa"/>
              <w:right w:w="0" w:type="dxa"/>
            </w:tcMar>
            <w:vAlign w:val="center"/>
          </w:tcPr>
          <w:p>
            <w:pPr>
              <w:pStyle w:val="TableContents"/>
              <w:bidi w:val="0"/>
              <w:spacing w:before="0" w:after="283"/>
              <w:ind w:left="0" w:right="0" w:firstLine="207"/>
              <w:jc w:val="left"/>
              <w:rPr>
                <w:rFonts w:ascii="Times New Roman" w:hAnsi="Times New Roman"/>
                <w:b/>
                <w:color w:val="000000"/>
                <w:sz w:val="20"/>
              </w:rPr>
            </w:pPr>
            <w:r>
              <w:rPr>
                <w:rFonts w:ascii="Times New Roman" w:hAnsi="Times New Roman"/>
                <w:b/>
                <w:color w:val="000000"/>
                <w:sz w:val="20"/>
              </w:rPr>
              <w:t>Nasdaq symbol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XCH”</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otherwise stated, all information in this prospectus supplement is based on 3,261,147,362 Ordinary Shares outstanding as of the date of this prospectus supplement (equivalent to 81,528,684 ADSs), and does not include the following as of that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8,410,133 Class A Ordinary Shares issuable upon the exercise of outstanding warrants, as of December 31, 2025, with a weighted-average exercise price of $0.0121 per Class A Ordinary Share, as more fully described in Note 11 to the consolidated financial statements incorporated by reference into this prospectus supplement and the accompanying prospectus;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741,254,447 Class A Ordinary Shares issuable upon conversion of our Class B Ordinary Shares, on a one-for-one basis, which represent the same economic interest as our Class A Ordinary Shares;</w:t>
      </w:r>
    </w:p>
    <w:p>
      <w:pPr>
        <w:pStyle w:val="TextBody"/>
        <w:bidi w:val="0"/>
        <w:jc w:val="center"/>
        <w:rPr>
          <w:rFonts w:ascii="Times New Roman" w:hAnsi="Times New Roman"/>
          <w:color w:val="000000"/>
          <w:sz w:val="20"/>
        </w:rPr>
      </w:pPr>
      <w:r>
        <w:rPr>
          <w:rFonts w:ascii="Times New Roman" w:hAnsi="Times New Roman"/>
          <w:color w:val="000000"/>
          <w:sz w:val="20"/>
        </w:rPr>
        <w:t>S-4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46,582,680 Class A Ordinary Shares issuable upon the vesting of restricted stock units (“RSUs”) under our 2023 Equity Incentive Plan II (the “2023 Plan II”) that are outstanding as of December 31, 2025, which are generally subject to only service conditions but with multiple vesting schedules;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102,235,006 Class A Ordinary Shares reserved under the 2023 Plan II;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218,076,383 Class A Ordinary Shares underlying RSUs granted under the 2023 Plan II that were vested in full as of December 31, 2025, but not yet settled as of that date.</w:t>
      </w:r>
    </w:p>
    <w:p>
      <w:pPr>
        <w:pStyle w:val="TextBody"/>
        <w:bidi w:val="0"/>
        <w:jc w:val="center"/>
        <w:rPr>
          <w:rFonts w:ascii="Times New Roman" w:hAnsi="Times New Roman"/>
          <w:color w:val="000000"/>
          <w:sz w:val="20"/>
        </w:rPr>
      </w:pPr>
      <w:r>
        <w:rPr>
          <w:rFonts w:ascii="Times New Roman" w:hAnsi="Times New Roman"/>
          <w:color w:val="000000"/>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risk_factors"/>
      <w:bookmarkEnd w:id="6"/>
      <w:r>
        <w:rPr>
          <w:rFonts w:ascii="Times New Roman" w:hAnsi="Times New Roman"/>
          <w:b/>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in the ADSs involves significant risks. Before making an investment decision, you should carefully consider the risks described below and in the documents incorporated by reference into this prospectus supplement and the accompanying prospectus, including our Annual Report on Form 20-F, or any report of foreign private issuer on Form 6-K that is incorporated by reference into this prospectus supplement, together with all of the other information appearing in, or incorporated by reference into, this prospectus supplement and the accompanying prospectus. The risks so described are not the only risks we face. Additional risks not presently known to us or that we currently deem immaterial may also impair our business operations and become material. Our business, financial condition and results of operations could be materially adversely affected by any of these risks. The trading price of the ADSs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under the caption “Special Note Regarding Forward-Looking Statements and Industry Data.”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This Offering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Since our management will have broad discretion in how we use the proceeds from this offering, we may use the proceeds in ways with which you disagree.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use the net proceeds of this offering for working capital and for other general corporate purposes. Accordingly, our management will have significant flexibility in applying the net proceeds of this offering.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us a favorable, or any, return. The failure of our management to use the net proceeds effectively could have a material adverse effect on our business, financial condition, operating results and cash flow.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sales of ADSs or Class A Ordinary Shares, whether by us or our shareholders, could cause the price of the ADSs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existing shareholders sell, or indicate an intent to sell, substantial amounts of ADSs or Class A Ordinary Shares in the public market, the trading price of the ADSs could decline significantly. Similarly, the perception in the public market that our shareholders might sell ADSs could also depress the market price of the ADSs. A decline in the price of the ADSs might impede our ability to raise capital through the issuance of additional ADSs or other equity securities. In addition, the issuance and sale by us of additional ADSs, or securities convertible into or exercisable for our Class A Ordinary Shares, or the perception that we will issue such securities, could reduce the trading price for the ADSs as well as make future sales of equity securities by us less attractive or not feasible.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agreed to certain restrictions on our ability to issue additional securities following this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Securities Purchase Agreement, from the date thereof until 30 days after the closing of this offering, neither we nor any of our subsidiaries may issue, enter into any agreement to issue, or announce the issuance or proposed issuance of any Class A Ordinary Shares or securities convertible into or exercisable for Class A Ordinary Shares, subject to certain exceptions for exempt issuances. This restriction may limit our ability to raise additional capital during such period, which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received a notice from Nasdaq regarding our failure to comply with the minimum bid price requirement and may face a risk that the ADSs could be delisted or trading may be suspended.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ADSs are listed on the Nasdaq Global Market. In order to maintain our listing on Nasdaq, we are required to comply with certain rules of Nasdaq, including those regarding minimum bid price, minimum market value of publicly held shares, and various additional requirements. We may not be able to continue to satisfy these requirements and applicable rules. If we are unable to satisfy the Nasdaq criteria for maintaining our listing, our securities could be subject to delisting.</w:t>
      </w:r>
    </w:p>
    <w:p>
      <w:pPr>
        <w:pStyle w:val="TextBody"/>
        <w:bidi w:val="0"/>
        <w:jc w:val="center"/>
        <w:rPr>
          <w:rFonts w:ascii="Times New Roman" w:hAnsi="Times New Roman"/>
          <w:color w:val="000000"/>
          <w:sz w:val="20"/>
        </w:rPr>
      </w:pPr>
      <w:r>
        <w:rPr>
          <w:rFonts w:ascii="Times New Roman" w:hAnsi="Times New Roman"/>
          <w:color w:val="000000"/>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24, 2026, we received written notice from Nasdaq notifying us that we are not in compliance with the Minimum Bid Price Requirement set forth in Nasdaq Listing Rule 5450(a)(1), as the closing bid price for the ADSs had been below $1.00 per ADS for the preceding 30 consecutive business days. In accordance with Nasdaq Listing Rule 5810(c)(3)(A), we have 180 calendar days, or until December 21, 2026 (the “Compliance Period”), to regain compliance with the Minimum Bid Price Requirement. To regain compliance, the closing bid price of the ADSs must be at least $1.00 per ADS for a minimum of ten consecutive business days during the Compliance Period. There can be no assurance that we will be able to regain compliance with the Minimum Bid Price Requirement within the Compliance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Nasdaq subsequently delists our securities from trading, we could face significant consequences, including limited availability of market quotations for our securities, reduced liquidity with respect to our securities, a determination that the ADSs are "penny stocks," limited news and analyst coverage, and a decreased ability to issue additional securities or obtain additional financing in the future. There can be no assurance that we will be able to maintain compliance with Nasdaq's continued listing requirements.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price for the ADSs may be volatile, which could result in substantial losses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for the ADSs may be volatile and subject to wide fluctuations in response to factors including actual or anticipated fluctuations in our operating results; our failure to meet or exceed securities analysts’ expectations of our financial results; changes in management’s or securities analysts’ estimates of our financial performance; future sales of the ADSs; low trading volume of the ADSs; additions or departures of key personnel; or results of studies or patents. In addition, the securities markets have from time to time experienced significant price and volume fluctuations that are not related to the operating performance of particular companies. As a result, to the extent shareholders sell our securities in negative market fluctuations, they may not receive a price per ADS that is based solely upon our business performance. We cannot guarantee that shareholders will not lose some or all of their investment in our securities.</w:t>
      </w:r>
    </w:p>
    <w:p>
      <w:pPr>
        <w:pStyle w:val="TextBody"/>
        <w:bidi w:val="0"/>
        <w:spacing w:before="240" w:after="283"/>
        <w:jc w:val="center"/>
        <w:rPr>
          <w:rFonts w:ascii="Times New Roman" w:hAnsi="Times New Roman"/>
          <w:b/>
          <w:color w:val="000000"/>
          <w:sz w:val="20"/>
        </w:rPr>
      </w:pPr>
      <w:bookmarkStart w:id="7" w:name="use_of_proceeds"/>
      <w:bookmarkEnd w:id="7"/>
      <w:r>
        <w:rPr>
          <w:rFonts w:ascii="Times New Roman" w:hAnsi="Times New Roman"/>
          <w:b/>
          <w:color w:val="000000"/>
          <w:sz w:val="20"/>
        </w:rPr>
        <w:t>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estimate that the net proceeds from this offering will be USD $3.9 million, after deducting the placement agent fees and the estimated offering expenses payable by us. We intend to use the net proceeds from this offering for working capital and other general corporate purposes. We will retain broad discretion in the allocation of the net proceeds of this offering.</w:t>
      </w:r>
    </w:p>
    <w:p>
      <w:pPr>
        <w:pStyle w:val="TextBody"/>
        <w:bidi w:val="0"/>
        <w:jc w:val="center"/>
        <w:rPr>
          <w:rFonts w:ascii="Times New Roman" w:hAnsi="Times New Roman"/>
          <w:color w:val="000000"/>
          <w:sz w:val="20"/>
        </w:rPr>
      </w:pPr>
      <w:r>
        <w:rPr>
          <w:rFonts w:ascii="Times New Roman" w:hAnsi="Times New Roman"/>
          <w:color w:val="000000"/>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8" w:name="dividend_policy"/>
      <w:bookmarkEnd w:id="8"/>
      <w:r>
        <w:rPr>
          <w:rFonts w:ascii="Times New Roman" w:hAnsi="Times New Roman"/>
          <w:b/>
          <w:color w:val="000000"/>
          <w:sz w:val="20"/>
        </w:rPr>
        <w:t>DIVIDEND</w:t>
      </w:r>
      <w:r>
        <w:rPr>
          <w:rFonts w:ascii="Times New Roman" w:hAnsi="Times New Roman"/>
          <w:color w:val="000000"/>
          <w:sz w:val="20"/>
        </w:rPr>
        <w:t xml:space="preserve"> </w:t>
      </w:r>
      <w:r>
        <w:rPr>
          <w:rFonts w:ascii="Times New Roman" w:hAnsi="Times New Roman"/>
          <w:b/>
          <w:color w:val="000000"/>
          <w:sz w:val="20"/>
        </w:rPr>
        <w:t>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previously declared or paid any cash dividend or dividend in kind. We do not have any present plan to pay any cash dividends on our Class A Ordinary Shares in the foreseeable future. We currently intend to retain most, if not all, of our available funds and any future earnings to operate and expand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Therefore, we cannot assure you that we will pay any cash dividends or other distributions to holders of the ADSs, or as to the amount of any such cash dividends or other distributions. If we pay any dividends on our Class A Ordinary Shares, we will pay those dividends which are payable in respect of the Class A Ordinary Shares underlying the ADSs to the Depositary, as the registered holder of such Class A Ordinary Shares, and the Depositary then will pay amounts received to the ADS holders who will receive payment on the Class A Ordinary shares underlying the ADSs held by such ADS holders, subject to the terms of the Deposit Agreement, including net of the fees and expenses and any tax withholding or other governmental charges. See “Description of American Depositary Shares” in the accompanying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company incorporated in the Cayman Islands. For our cash requirements, including any payment of dividends to our shareholders, we rely upon payments from our operating entities. We rely on a combination of dividend payments from our subsidiaries in markets we operate. Regulations in local jurisdictions where we utilize dividend payments may restrict the ability of our subsidiaries to pay dividends to us.</w:t>
      </w:r>
    </w:p>
    <w:p>
      <w:pPr>
        <w:pStyle w:val="TextBody"/>
        <w:bidi w:val="0"/>
        <w:jc w:val="center"/>
        <w:rPr>
          <w:rFonts w:ascii="Times New Roman" w:hAnsi="Times New Roman"/>
          <w:color w:val="000000"/>
          <w:sz w:val="20"/>
        </w:rPr>
      </w:pPr>
      <w:r>
        <w:rPr>
          <w:rFonts w:ascii="Times New Roman" w:hAnsi="Times New Roman"/>
          <w:color w:val="000000"/>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capitalization"/>
      <w:bookmarkEnd w:id="9"/>
      <w:r>
        <w:rPr>
          <w:rFonts w:ascii="Times New Roman" w:hAnsi="Times New Roman"/>
          <w:b/>
          <w:color w:val="000000"/>
          <w:sz w:val="20"/>
        </w:rPr>
        <w:t>CAPITALIZATION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our cash and cash equivalents and our capitalization as of December 31,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an actual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an as adjusted basis to give additional effect to the sale of 7,000,000 ADSs in this offering at a purchase price of $0.625 per ADS, and after deducting placement agent fees and estimated offering expenses payable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this table, capitalization consists of short-term borrowings and total shareholders’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 adjusted” column below is illustrative only. You should read this table in conjunction with our consolidated financial statements as of and for the year ended December 31, 2025 appearing in our most recent annual report on Form 20-F incorporated by reference herein.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83"/>
        <w:gridCol w:w="146"/>
        <w:gridCol w:w="1183"/>
        <w:gridCol w:w="114"/>
        <w:gridCol w:w="879"/>
      </w:tblGrid>
      <w:tr>
        <w:trPr/>
        <w:tc>
          <w:tcPr>
            <w:tcW w:w="7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78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3"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As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w:t>
            </w:r>
          </w:p>
        </w:tc>
      </w:tr>
      <w:tr>
        <w:trPr/>
        <w:tc>
          <w:tcPr>
            <w:tcW w:w="7883"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7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(U.S. dollars in thousands, unaudited)</w:t>
            </w:r>
          </w:p>
        </w:tc>
      </w:tr>
      <w:tr>
        <w:trPr/>
        <w:tc>
          <w:tcPr>
            <w:tcW w:w="7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w:t>
            </w:r>
          </w:p>
        </w:tc>
        <w:tc>
          <w:tcPr>
            <w:tcW w:w="11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w:t>
            </w:r>
          </w:p>
        </w:tc>
      </w:tr>
      <w:tr>
        <w:trPr/>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8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w:t>
            </w:r>
          </w:p>
        </w:tc>
        <w:tc>
          <w:tcPr>
            <w:tcW w:w="1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w:t>
            </w:r>
          </w:p>
        </w:tc>
      </w:tr>
      <w:tr>
        <w:trPr/>
        <w:tc>
          <w:tcPr>
            <w:tcW w:w="7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Ordinary Shares, par value $0.00001 (4,258,745,553 shares authorized; 2,160,310,915 shares issued and outstanding as of December 31, 2025 and 2,440,310,915 shares issued and outstanding as adjusted)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Ordinary Shares, par value $0.00001 (741,254,447 shares authorized; 741,254,447 shares issued and outstanding as of December 31, 2025 and as adjusted)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100,820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104,713</w:t>
            </w:r>
          </w:p>
        </w:tc>
      </w:tr>
      <w:tr>
        <w:trPr/>
        <w:tc>
          <w:tcPr>
            <w:tcW w:w="7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r>
      <w:tr>
        <w:trPr/>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8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(84,876)</w:t>
            </w:r>
          </w:p>
        </w:tc>
        <w:tc>
          <w:tcPr>
            <w:tcW w:w="1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(84,876)</w:t>
            </w:r>
          </w:p>
        </w:tc>
      </w:tr>
      <w:tr>
        <w:trPr/>
        <w:tc>
          <w:tcPr>
            <w:tcW w:w="7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17,866</w:t>
            </w:r>
          </w:p>
        </w:tc>
        <w:tc>
          <w:tcPr>
            <w:tcW w:w="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21,761</w:t>
            </w:r>
          </w:p>
        </w:tc>
      </w:tr>
      <w:tr>
        <w:trPr/>
        <w:tc>
          <w:tcPr>
            <w:tcW w:w="7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capitalization</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18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31,309</w:t>
            </w:r>
          </w:p>
        </w:tc>
        <w:tc>
          <w:tcPr>
            <w:tcW w:w="114" w:type="dxa"/>
            <w:tcBorders>
              <w:bottom w:val="doub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37,041</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Assumes no issuance, conversion or cancellation of Class B Ordinary Shares in connection with this offering, as the ADSs sold in this offering represent only Class A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above discussion and table are based on 2,160,310,915 Class A Ordinary Shares and 741,254,447 Class B Ordinary Shares outstanding as of December 31, 2025, and do not include the following as of that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8,410,133 Class A Ordinary Shares issuable upon the exercise of outstanding warrants, as of December 31, 2025, with a weighted-average exercise price of $0.0121 per Class A Ordinary Share, as more fully described in Note 11 to the consolidated financial statements incorporated by reference into this prospectus supplement and the accompanying prospectus;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741,254,447 Class A Ordinary Shares issuable upon conversion of our Class B Ordinary Shares, on a one-for-one basis, which represent the same economic interest as our Class A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46,582,680 Class A Ordinary Shares issuable upon the vesting of restricted stock units (“RSUs”) under our 2023 Equity Incentive Plan II (the “2023 Plan II”) that are outstanding as of December 31, 2025, which are generally subject to only service conditions but with multiple vesting schedules;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102,235,006 Class A Ordinary Shares reserved under the 2023 Plan II;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218,076,383 Class A Ordinary Shares underlying RSUs granted under the 2023 Plan II that were vested in full as of December 31, 2025, but not yet settled as of that date.</w:t>
      </w:r>
    </w:p>
    <w:p>
      <w:pPr>
        <w:pStyle w:val="TextBody"/>
        <w:bidi w:val="0"/>
        <w:jc w:val="center"/>
        <w:rPr>
          <w:rFonts w:ascii="Times New Roman" w:hAnsi="Times New Roman"/>
          <w:color w:val="000000"/>
          <w:sz w:val="20"/>
        </w:rPr>
      </w:pPr>
      <w:r>
        <w:rPr>
          <w:rFonts w:ascii="Times New Roman" w:hAnsi="Times New Roman"/>
          <w:color w:val="000000"/>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dilution"/>
      <w:bookmarkEnd w:id="10"/>
      <w:r>
        <w:rPr>
          <w:rFonts w:ascii="Times New Roman" w:hAnsi="Times New Roman"/>
          <w:b/>
          <w:color w:val="000000"/>
          <w:sz w:val="20"/>
        </w:rPr>
        <w:t>DILUTION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invest in ADSs, you will experience immediate dilution to the extent of the difference between the price per ADS paid by investors in this offering and the net tangible book value per ADS immediately after the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net tangible book value per Ordinary Share is determined by dividing our total shareholders’ equity (less intangible assets, if any) by the actual number of outstanding Ordinary Shares. The net tangible book value of our Ordinary Shares as of December 31, 2025, was approximately $0.006 per Ordinary Share or approximately $0.25 per ADS (using the ratio of 40 Class A Ordinary Shares to one ADS).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giving effect to the sale of 7,000,000 ADSs in this offering at a purchase price of $0.625 per ADS, and after deducting placement agent fees and estimated offering expenses payable by us, our as adjusted net tangible book value as of December 31, 2025 would have been approximately $21,761,000, or $0.0068 per Ordinary Share or $0.2736 per ADS. This amount represents an immediate increase in net tangible book value of $0.0006 per Ordinary Share or $0.0236 per ADS as a result of this offering and an immediate dilution of approximately $0.3514 per ADS to investors purchasing ADSs in this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illustrates this dilution on a per ADS basis. The as adjusted information is illustrative only.</w:t>
      </w:r>
    </w:p>
    <w:p>
      <w:pPr>
        <w:pStyle w:val="TextBody"/>
        <w:bidi w:val="0"/>
        <w:jc w:val="both"/>
        <w:rPr/>
      </w:pPr>
      <w:r>
        <w:rPr/>
        <w:t> </w:t>
      </w:r>
    </w:p>
    <w:tbl>
      <w:tblPr>
        <w:tblW w:w="9288" w:type="dxa"/>
        <w:jc w:val="left"/>
        <w:tblInd w:w="0" w:type="dxa"/>
        <w:tblLayout w:type="fixed"/>
        <w:tblCellMar>
          <w:top w:w="28" w:type="dxa"/>
          <w:left w:w="28" w:type="dxa"/>
          <w:bottom w:w="28" w:type="dxa"/>
          <w:right w:w="28" w:type="dxa"/>
        </w:tblCellMar>
      </w:tblPr>
      <w:tblGrid>
        <w:gridCol w:w="8356"/>
        <w:gridCol w:w="211"/>
        <w:gridCol w:w="721"/>
      </w:tblGrid>
      <w:tr>
        <w:trPr/>
        <w:tc>
          <w:tcPr>
            <w:tcW w:w="8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8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 per ADS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0.625</w:t>
            </w:r>
          </w:p>
        </w:tc>
      </w:tr>
      <w:tr>
        <w:trPr/>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tangible book value per ADS as of December 31, 2025</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r>
      <w:tr>
        <w:trPr/>
        <w:tc>
          <w:tcPr>
            <w:tcW w:w="8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net tangible book value per ADS attributable to investors purchasing ADSs in this offering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0.0236</w:t>
            </w:r>
          </w:p>
        </w:tc>
      </w:tr>
      <w:tr>
        <w:trPr/>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adjusted net tangible book value per ADS after offering</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0.2736</w:t>
            </w:r>
          </w:p>
        </w:tc>
      </w:tr>
      <w:tr>
        <w:trPr/>
        <w:tc>
          <w:tcPr>
            <w:tcW w:w="8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Dilution per ADS to investors purchasing ADSs in the offering</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0.3514</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above discussion and table are based on 2,160,310,915 Class A Ordinary Shares and 741,254,447 Class B Ordinary Shares outstanding as of December 31, 2025, and do not include the following as of that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8,410,133 Class A Ordinary Shares issuable upon the exercise of outstanding warrants, as of December 31, 2025, with a weighted-average exercise price of $0.0121 per Class A Ordinary Share, as more fully described in Note 11 to the consolidated financial statements incorporated by reference into this prospectus supplement and the accompanying prospectus;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741,254,447 Class A Ordinary Shares issuable upon conversion of our Class B Ordinary Shares on a one-for-one basis,</w:t>
      </w:r>
      <w:r>
        <w:rPr>
          <w:color w:val="000000"/>
        </w:rPr>
        <w:t xml:space="preserve"> </w:t>
      </w:r>
      <w:r>
        <w:rPr>
          <w:rFonts w:ascii="Times New Roman" w:hAnsi="Times New Roman"/>
          <w:color w:val="000000"/>
          <w:sz w:val="20"/>
        </w:rPr>
        <w:t>which represent the same economic interest as our Class A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46,582,680 Class A Ordinary Shares issuable upon the vesting of RSUs under the 2023 Plan II that are outstanding as of December 31, 2025, which are generally subject to only service conditions but with multiple vesting schedules;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102,235,006 Class A Ordinary Shares reserved under our 2023 Plan II;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218,076,383 Class A Ordinary Shares underlying RSUs granted under the 2023 Plan II that were vested in full as of December 31, 2025, but not yet settled as of that date.</w:t>
      </w:r>
    </w:p>
    <w:p>
      <w:pPr>
        <w:pStyle w:val="TextBody"/>
        <w:bidi w:val="0"/>
        <w:jc w:val="center"/>
        <w:rPr>
          <w:rFonts w:ascii="Times New Roman" w:hAnsi="Times New Roman"/>
          <w:color w:val="000000"/>
          <w:sz w:val="20"/>
        </w:rPr>
      </w:pPr>
      <w:r>
        <w:rPr>
          <w:rFonts w:ascii="Times New Roman" w:hAnsi="Times New Roman"/>
          <w:color w:val="000000"/>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lan_of_distribution"/>
      <w:bookmarkEnd w:id="11"/>
      <w:r>
        <w:rPr>
          <w:rFonts w:ascii="Times New Roman" w:hAnsi="Times New Roman"/>
          <w:b/>
          <w:color w:val="000000"/>
          <w:sz w:val="20"/>
        </w:rPr>
        <w:t>PLAN OF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A.G.P./Alliance Global Partners (the “Placement Agent”) has agreed to act as the exclusive placement agent in connection with this offering. The Placement Agent is not purchasing or selling the ADSs offered by this prospectus supplement, nor is the Placement Agent required to arrange the purchase or sale of any specific number or dollar amount of ADSs, but has agreed to use its reasonable best efforts to arrange for the sale of all of the ADSs offered hereby.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a Securities Purchase Agreement directly with the investors in this offering, pursuant to which we will sell to such investors an aggregate of 7,000,000 ADSs at a purchase price of $0.625 per ADS. The Placement Agent is acting as our exclusive placement agent in connection with this offering on a “reasonable best efforts” basis. The Placement Agent is not purchasing or selling any of the ADSs offered pursuant to this prospectus supplement, nor is the Placement Agent required to arrange the purchase or sale of any specific number or dollar amount of ADSs.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Side Letter to the Placement Agency Agreement, dated June 29, 2026, we and the Placement Agent have mutually agreed to additional closings on or before the 30th calendar day anniversary of the initial closing date, if the Placement Agent exercises its option to place additional ADSs of up to an aggregate amount of 1% of the ADSs offered at the initial closing to one or more investors by delivery of one or more written notices.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initially deliver the ADSs being offered pursuant to this prospectus supplement on or about June 29, 2026, subject to customary closing conditions.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Fees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agreed to pay the Placement Agent a cash fee equal to six and three-quarters percent (6.75%) of the aggregate gross proceeds received by the Company from the sale of the ADSs in this offering. In addition, we have agreed to reimburse the Placement Agent for accountable legal fees and other reasonable and documented out-of-pocket expenses in an amount not to exceed $75,000, and non-accountable expenses in an amount not to exceed $15,000. The Company will reimburse the Placement Agent at the closing of this offering, directly out of the gross proceeds raised in this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per share and total placement agent fees we will pay to the placement agent in connection with the sale of the securities pursuant to this prospectus supplement and the accompanying prospectus:</w:t>
      </w:r>
    </w:p>
    <w:p>
      <w:pPr>
        <w:pStyle w:val="TextBody"/>
        <w:bidi w:val="0"/>
        <w:jc w:val="left"/>
        <w:rPr/>
      </w:pPr>
      <w:r>
        <w:rPr/>
        <w:t> </w:t>
      </w:r>
    </w:p>
    <w:tbl>
      <w:tblPr>
        <w:tblW w:w="5614" w:type="dxa"/>
        <w:jc w:val="left"/>
        <w:tblInd w:w="0" w:type="dxa"/>
        <w:tblLayout w:type="fixed"/>
        <w:tblCellMar>
          <w:top w:w="28" w:type="dxa"/>
          <w:left w:w="28" w:type="dxa"/>
          <w:bottom w:w="28" w:type="dxa"/>
          <w:right w:w="28" w:type="dxa"/>
        </w:tblCellMar>
      </w:tblPr>
      <w:tblGrid>
        <w:gridCol w:w="2701"/>
        <w:gridCol w:w="146"/>
        <w:gridCol w:w="211"/>
        <w:gridCol w:w="676"/>
        <w:gridCol w:w="146"/>
        <w:gridCol w:w="146"/>
        <w:gridCol w:w="211"/>
        <w:gridCol w:w="118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ADS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Placement agent’s fees </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295,312.50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before expenses, to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4,079,687.50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After deducting certain fees and expenses due to placement agent and our estimated offering expenses, we expect the net proceeds from this offering to be approximately US$3.9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Company Standstill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Securities Purchase Agreement, from the date thereof until 30 days after the Closing Date, neither we nor any of our subsidiaries may (i) issue, enter into any agreement to issue, or announce the issuance or proposed issuance of any Class A Ordinary Shares or securities convertible into or exercisable for Class A Ordinary Shares, or (ii) file any registration statement or any amendment or supplement thereto, other than the Prospectus Supplement or a registration statement on Form S-8 in connection with any employee benefit plan. This restriction does not apply to certain exempt issuances, including (a) Class A Ordinary Shares or options issued to employees, officers or directors pursuant to any duly adopted stock or option plan, (b) securities issued upon the exercise or exchange of or conversion of securities outstanding as of the date of the Securities Purchase Agreement, (c) the ADSs issued pursuant to the Securities Purchase Agreement, and (d) securities issued pursuant to acquisitions or </w:t>
      </w:r>
    </w:p>
    <w:p>
      <w:pPr>
        <w:pStyle w:val="TextBody"/>
        <w:bidi w:val="0"/>
        <w:jc w:val="center"/>
        <w:rPr>
          <w:rFonts w:ascii="Times New Roman" w:hAnsi="Times New Roman"/>
          <w:color w:val="000000"/>
          <w:sz w:val="20"/>
        </w:rPr>
      </w:pPr>
      <w:r>
        <w:rPr>
          <w:rFonts w:ascii="Times New Roman" w:hAnsi="Times New Roman"/>
          <w:color w:val="000000"/>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transactions approved by a majority of the disinterested directors of the Company, subject to the conditions set forth in the Securities Purchase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Regulation 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Placement Agent may be deemed to be an underwriter within the meaning of Section 2(a)(11) of the Securities Act, and any fees or commissions received by it and any profit realized on the resale of ADSs sold by it while acting as principal might be deemed to be underwriting discounts or commissions under the Securities Act. As an underwriter, the Placement Agent is required to comply with the requirements of the Securities Act and the Exchange Act, including, without limitation, Rule 10b-5 and Regulation M under the Exchange Act. These rules and regulations may limit the timing of purchases and sales of ADSs by the Placement Agent. Under these rules and regulations, the Placement Agent may not engage in any stabilization activity in connection with our securities and may not bid for or purchase any of our securities or attempt to induce any person to purchase any of our securities, other than as permitted under the Exchange Act, until the distribution of the ADSs is complete.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Tail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within eighteen (18) months after the closing of this offering, the Company completes any financing of equity, equity-linked, convertible or other capital-raising activity with any investor actually introduced by the Placement Agent to the Company during the term of the Placement Agency Agreement, then the Company shall pay to the Placement Agent a commission commensurate with those set forth in the Placement Agency Agreement from the proceeds raised from such investors. In accordance with FINRA Rule 5110(g)(5)(B), the tail fee contemplated hereby may be terminated by the Company for “Cause,” which shall mean a material breach by the Placement Agent of the Placement Agency Agreement or a material failure by the Placement Agent to provide the services as contemplated by the Placement Agency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Determination of Offering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offering price of the securities we are offering was negotiated between us and the investors, in consultation with the placement agent based on the trading of our common stock prior to the offering, among other things. Other factors considered in determining the offering price of the securities we are offering include our history and prospects,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Passive Market Making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offering, the placement agent may engage in passive market making transactions in our common stock on the Nasdaq Stock Market in accordance with Rule 103 of Regulation M promulgated under the Exchange Act during a period before the commencement of offers or sales of our securities and extending through the completion of the distribution.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agreed to indemnify the Placement Agent against certain liabilities, including liabilities under the Securities Act, and liabilities arising from breaches of representations and warranties contained in the Placement Agency Agreement, or to contribute to payments that the Placement Agent may be required to make in respect of those liabilities.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Potential Conflicts of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Placement Agent and its affiliates may, from time to time, engage in transactions with and perform services for us in the ordinary course of their business for which they may receive customary fees and reimbursement of expenses. In the ordinary course of its various business activities, the Placement Agent and its affiliates may make or hold a broad array of investments and actively trade debt and equity securities (or related </w:t>
      </w:r>
    </w:p>
    <w:p>
      <w:pPr>
        <w:pStyle w:val="TextBody"/>
        <w:bidi w:val="0"/>
        <w:jc w:val="center"/>
        <w:rPr>
          <w:rFonts w:ascii="Times New Roman" w:hAnsi="Times New Roman"/>
          <w:color w:val="000000"/>
          <w:sz w:val="20"/>
        </w:rPr>
      </w:pPr>
      <w:r>
        <w:rPr>
          <w:rFonts w:ascii="Times New Roman" w:hAnsi="Times New Roman"/>
          <w:color w:val="000000"/>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 securities) and financial instruments (including bank loans) for their own accounts and for the accounts of their customers, and such investment and securities activities may involve securities and/or instruments of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Placement Agent entered into a sales agreement with the Company on January 30, 2026, pursuant to which the Company may issue and sell from time to time, ADSs, having an aggregate offering price of up to $12,800,000 through the placement agent or any of its sub-agent(s) or other designees, acting as sales agent, the amount of which was fixed to up to $50,000 of ADSs from time to time on June 25, 2026. The Company had sold 22,000 ADSs under the sales agreement as of the date of this prospectus supplement.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Electronic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prospectus supplement may be made available in electronic format on websites or through other online services maintained by the Placement Agent or by an affiliate. Other than this prospectus supplement, the information on the Placement Agent’s website and any information contained in any other website maintained by the Placement Agent is not part of this prospectus supplement and the accompanying prospectus, has not been approved and/or endorsed by us or the Placement Agent, and should not be relied upon by investors.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ADSs are listed under the symbol “XCH” on the Nasdaq Global Market.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Depositary Bank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for the ADSs to be issued in this offering is The Bank of New York Mellon.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Regulatory Restrictions on Purchase of Securities Offered Hereby Generally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w:t>
      </w:r>
    </w:p>
    <w:p>
      <w:pPr>
        <w:pStyle w:val="TextBody"/>
        <w:bidi w:val="0"/>
        <w:spacing w:before="240" w:after="283"/>
        <w:jc w:val="center"/>
        <w:rPr>
          <w:rFonts w:ascii="Times New Roman" w:hAnsi="Times New Roman"/>
          <w:sz w:val="20"/>
        </w:rPr>
      </w:pPr>
      <w:bookmarkStart w:id="12" w:name="legal_matters"/>
      <w:bookmarkEnd w:id="12"/>
      <w:r>
        <w:rPr>
          <w:rFonts w:ascii="Times New Roman" w:hAnsi="Times New Roman"/>
          <w:b/>
          <w:color w:val="000000"/>
          <w:sz w:val="20"/>
        </w:rPr>
        <w:t>LEGAL</w:t>
      </w:r>
      <w:r>
        <w:rPr>
          <w:rFonts w:ascii="Times New Roman" w:hAnsi="Times New Roman"/>
          <w:color w:val="000000"/>
          <w:sz w:val="20"/>
        </w:rPr>
        <w:t xml:space="preserve"> </w:t>
      </w:r>
      <w:r>
        <w:rPr>
          <w:rFonts w:ascii="Times New Roman" w:hAnsi="Times New Roman"/>
          <w:b/>
          <w:color w:val="000000"/>
          <w:sz w:val="20"/>
        </w:rPr>
        <w:t>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being represented by McLaughlin &amp; Stern, LLP with respect to certain legal matters of U.S. federal securities and New York state law. The validity of the Securities sold hereunder and certain legal matters as to Cayman Islands law will be passed upon for us by Maples and Calder (Hong Kong) LLP. McLaughlin &amp; Stern, LLP may rely upon Maples and Calder (Hong Kong) LLP with respect to matters governed by Cayman Islands law. Certain legal matters in connection with this offering will be passed upon for the Placement Agent by Pryor Cashman LLP, New York, New York.</w:t>
      </w:r>
    </w:p>
    <w:p>
      <w:pPr>
        <w:pStyle w:val="TextBody"/>
        <w:bidi w:val="0"/>
        <w:spacing w:before="240" w:after="283"/>
        <w:jc w:val="center"/>
        <w:rPr>
          <w:rFonts w:ascii="Times New Roman" w:hAnsi="Times New Roman"/>
          <w:b/>
          <w:color w:val="000000"/>
          <w:sz w:val="20"/>
        </w:rPr>
      </w:pPr>
      <w:bookmarkStart w:id="13" w:name="experts"/>
      <w:bookmarkEnd w:id="13"/>
      <w:r>
        <w:rPr>
          <w:rFonts w:ascii="Times New Roman" w:hAnsi="Times New Roman"/>
          <w:b/>
          <w:color w:val="000000"/>
          <w:sz w:val="20"/>
        </w:rPr>
        <w:t>EXPERTS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as of and for the years ended December 31, 2025 and 2024 are incorporated in this prospectus supplement by reference to our Annual Report on Form 20-F for the year ended December 31, 2025 and have been so incorporated in reliance on the report of Marcum Asia CPAs LLP, an independent registered public accounting firm, given on the authority of said firm as experts in auditing and accounting. The registered business address of Marcum Asia CPAs LLP is 7 Penn Plaza, Suite 830, New York, NY 10001.</w:t>
      </w:r>
    </w:p>
    <w:p>
      <w:pPr>
        <w:pStyle w:val="TextBody"/>
        <w:bidi w:val="0"/>
        <w:jc w:val="center"/>
        <w:rPr>
          <w:rFonts w:ascii="Times New Roman" w:hAnsi="Times New Roman"/>
          <w:color w:val="000000"/>
          <w:sz w:val="20"/>
        </w:rPr>
      </w:pPr>
      <w:r>
        <w:rPr>
          <w:rFonts w:ascii="Times New Roman" w:hAnsi="Times New Roman"/>
          <w:color w:val="000000"/>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of XCHG Limited as of December 31, 2023 and for the year ended December 31, 2023 have been incorporated by reference herein in reliance upon the report of KPMG Huazhen LLP, independent registered public accounting firm, incorporated by reference herein, and upon the authority of said firm as experts in accounting and auditing.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report covering the December 31, 2023 consolidated financial statements contains an explanatory paragraph that states that the redeemable preferred shareholders have rights to request the company to redeem all of the redeemable preference shares if the company has not consummated a qualified initial public offering or qualified share sale by September 30, 2024, that raise substantial doubt about its ability to continue as a going concern. The consolidated financial statements do not include any adjustments that might result from the outcome of that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office of KPMG Huazhen LLP is located at 8th Floor, KPMG Tower, Oriental Plaza, No.1 East Chang An Avenue, Beijing, the People’s Republic of China.</w:t>
      </w:r>
    </w:p>
    <w:p>
      <w:pPr>
        <w:pStyle w:val="TextBody"/>
        <w:bidi w:val="0"/>
        <w:spacing w:before="240" w:after="283"/>
        <w:jc w:val="center"/>
        <w:rPr>
          <w:rFonts w:ascii="Times New Roman" w:hAnsi="Times New Roman"/>
          <w:b/>
          <w:color w:val="000000"/>
          <w:sz w:val="20"/>
        </w:rPr>
      </w:pPr>
      <w:bookmarkStart w:id="14" w:name="where_you_can_find_more_information"/>
      <w:bookmarkEnd w:id="14"/>
      <w:r>
        <w:rPr>
          <w:rFonts w:ascii="Times New Roman" w:hAnsi="Times New Roman"/>
          <w:b/>
          <w:color w:val="000000"/>
          <w:sz w:val="20"/>
        </w:rPr>
        <w:t>WHERE YOU CAN FIND MORE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filed with the U.S. Securities and Exchange Commission a registration statement (including amendments and exhibits to the registration statement) on Form F-3 under the Securities Act. This prospectus supplement and the accompanying prospectus, which are part of the registration statement, do not contain all of the information set forth in the registration statement and the exhibits and schedules to the registration statement. For further information, we refer you to the registration statement and the exhibits and schedules filed in or incorporated by reference with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 w:hAnsi="Times New Roman"/>
          <w:b/>
          <w:color w:val="000000"/>
          <w:sz w:val="20"/>
        </w:rPr>
        <w:t>www.sec.gov</w:t>
      </w:r>
      <w:r>
        <w:rPr>
          <w:rFonts w:ascii="Times New Roman" w:hAnsi="Times New Roman"/>
          <w:color w:val="000000"/>
          <w:sz w:val="20"/>
        </w:rPr>
        <w:t xml:space="preserve"> that contains reports, proxy and information statements and other information we have filed electronically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foreign private issuer, we are exempt under the Exchange Act from, among other things, the rules prescribing the furnishing and content of proxy statements, and our executive officers, directors and principal shareholders are exempt from the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rely only on the information contained in this prospectus supplement, the accompanying prospectus, or to which this prospectus supplement and the accompanying prospectus has referred you. We have not authorized any person to provide you with different information or to make any representation not contained in this prospectus supplement and the accompanying prospectus.</w:t>
      </w:r>
    </w:p>
    <w:p>
      <w:pPr>
        <w:pStyle w:val="TextBody"/>
        <w:bidi w:val="0"/>
        <w:jc w:val="center"/>
        <w:rPr>
          <w:rFonts w:ascii="Times New Roman" w:hAnsi="Times New Roman"/>
          <w:color w:val="000000"/>
          <w:sz w:val="20"/>
        </w:rPr>
      </w:pPr>
      <w:r>
        <w:rPr>
          <w:rFonts w:ascii="Times New Roman" w:hAnsi="Times New Roman"/>
          <w:color w:val="000000"/>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incorporation_of_certain_information_by"/>
      <w:bookmarkEnd w:id="15"/>
      <w:r>
        <w:rPr>
          <w:rFonts w:ascii="Times New Roman" w:hAnsi="Times New Roman"/>
          <w:b/>
          <w:color w:val="000000"/>
          <w:sz w:val="20"/>
        </w:rPr>
        <w:t>INCORPORATION OF CERTAIN INFORMATION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 allows us to “incorporate by reference” information into this prospectus supplement, which means that we can disclose important information to you by referring you to other documents which we have filed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into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incorporate by reference into this prospectus supplement documents listed below and any future filings made with the SEC under Sections 13(a), 13(c), 14 or 15(d) of the Exchange Act, and, to the extent specifically designated therein, reports of foreign private issuer on Form 6-K we furnish to the SEC on or after the date on which this registration statement is first filed with the SEC and until the termination or completion of that offering under this prospectus supplement: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Annual Report on Form 20-F for the fiscal year ended December 31, 2025, filed with the SEC on </w:t>
      </w:r>
      <w:r>
        <w:rPr>
          <w:rFonts w:ascii="Times New Roman" w:hAnsi="Times New Roman"/>
          <w:color w:val="0000FF"/>
          <w:sz w:val="20"/>
          <w:u w:val="single"/>
        </w:rPr>
        <w:t>April 27, 2026</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Report of Foreign Private Issuer on Form 6-K, submitted on June 1, 2026;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description of our ordinary shares contained under the heading “Item 1. Description of Registrant’s Securities to be Registered” in our registration statement on Form 8-A, as filed with the SEC on </w:t>
      </w:r>
      <w:hyperlink r:id="rId3">
        <w:r>
          <w:rPr>
            <w:rStyle w:val="InternetLink"/>
            <w:rFonts w:ascii="Times New Roman" w:hAnsi="Times New Roman"/>
            <w:color w:val="0000FF"/>
            <w:sz w:val="20"/>
            <w:u w:val="single"/>
          </w:rPr>
          <w:t>August 7, 2024</w:t>
        </w:r>
      </w:hyperlink>
      <w:r>
        <w:rPr>
          <w:rFonts w:ascii="Times New Roman" w:hAnsi="Times New Roman"/>
          <w:color w:val="000000"/>
          <w:sz w:val="20"/>
        </w:rPr>
        <w:t xml:space="preserve">, as updated by the description of our ordinary shares that served as </w:t>
      </w:r>
      <w:hyperlink r:id="rId4">
        <w:r>
          <w:rPr>
            <w:rStyle w:val="InternetLink"/>
            <w:rFonts w:ascii="Times New Roman" w:hAnsi="Times New Roman"/>
            <w:color w:val="0000FF"/>
            <w:sz w:val="20"/>
            <w:u w:val="single"/>
          </w:rPr>
          <w:t>Exhibit 2.4</w:t>
        </w:r>
      </w:hyperlink>
      <w:r>
        <w:rPr>
          <w:color w:val="000000"/>
        </w:rPr>
        <w:t xml:space="preserve"> </w:t>
      </w:r>
      <w:r>
        <w:rPr>
          <w:rFonts w:ascii="Times New Roman" w:hAnsi="Times New Roman"/>
          <w:color w:val="000000"/>
          <w:sz w:val="20"/>
        </w:rPr>
        <w:t xml:space="preserve">to our Annual Report on Form 20-F for the fiscal year ended December 31, 2024 filed with the SEC on </w:t>
      </w:r>
      <w:hyperlink r:id="rId5">
        <w:r>
          <w:rPr>
            <w:rStyle w:val="InternetLink"/>
            <w:rFonts w:ascii="Times New Roman" w:hAnsi="Times New Roman"/>
            <w:color w:val="0000FF"/>
            <w:sz w:val="20"/>
            <w:u w:val="single"/>
          </w:rPr>
          <w:t>April 23, 2025</w:t>
        </w:r>
      </w:hyperlink>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statement contained herein or in a document all or a portion of which is incorporated or deemed to be incorporated by reference herein shall be deemed to be modified or superseded for purposes of this prospectus supplement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expressly incorporated by reference, nothing in this prospectus supplement shall be deemed to incorporate by reference information furnished to, but not filed with, the SEC. Copies of all documents incorporated by reference into this prospectus supplement, other than exhibits to those documents unless such exhibits are specially incorporated by reference into this prospectus supplement, will be provided at no cost to each person, including any beneficial owner, who receives a copy of this prospectus supplement on the written or oral request of that person made 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XCHG Limited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 Investor Relations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Email: ir@xcharge.com</w:t>
      </w:r>
    </w:p>
    <w:p>
      <w:pPr>
        <w:pStyle w:val="TextBody"/>
        <w:bidi w:val="0"/>
        <w:jc w:val="center"/>
        <w:rPr>
          <w:rFonts w:ascii="Times New Roman" w:hAnsi="Times New Roman"/>
          <w:color w:val="000000"/>
          <w:sz w:val="20"/>
        </w:rPr>
      </w:pPr>
      <w:r>
        <w:rPr>
          <w:rFonts w:ascii="Times New Roman" w:hAnsi="Times New Roman"/>
          <w:color w:val="000000"/>
          <w:sz w:val="20"/>
        </w:rPr>
        <w:t>S-15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Prospectus</w:t>
      </w:r>
    </w:p>
    <w:p>
      <w:pPr>
        <w:pStyle w:val="TextBody"/>
        <w:bidi w:val="0"/>
        <w:jc w:val="center"/>
        <w:rPr>
          <w:rFonts w:ascii="Times New Roman" w:hAnsi="Times New Roman"/>
          <w:b/>
          <w:color w:val="000000"/>
          <w:sz w:val="20"/>
        </w:rPr>
      </w:pPr>
      <w:r>
        <w:rPr>
          <w:rFonts w:ascii="Times New Roman" w:hAnsi="Times New Roman"/>
          <w:b/>
          <w:color w:val="000000"/>
          <w:sz w:val="20"/>
        </w:rPr>
        <w:t>US$250,000,000</w:t>
      </w:r>
    </w:p>
    <w:p>
      <w:pPr>
        <w:pStyle w:val="TextBody"/>
        <w:bidi w:val="0"/>
        <w:jc w:val="center"/>
        <w:rPr/>
      </w:pPr>
      <w:r>
        <w:rPr/>
        <w:drawing>
          <wp:inline distT="0" distB="0" distL="0" distR="0">
            <wp:extent cx="165735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1657350" cy="2571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American Depositary Shares</w:t>
      </w:r>
    </w:p>
    <w:p>
      <w:pPr>
        <w:pStyle w:val="TextBody"/>
        <w:bidi w:val="0"/>
        <w:jc w:val="center"/>
        <w:rPr>
          <w:rFonts w:ascii="Times New Roman" w:hAnsi="Times New Roman"/>
          <w:b/>
          <w:color w:val="000000"/>
          <w:sz w:val="20"/>
        </w:rPr>
      </w:pPr>
      <w:r>
        <w:rPr>
          <w:rFonts w:ascii="Times New Roman" w:hAnsi="Times New Roman"/>
          <w:b/>
          <w:color w:val="000000"/>
          <w:sz w:val="20"/>
        </w:rPr>
        <w:t>Class A Ordinary Shares</w:t>
      </w:r>
    </w:p>
    <w:p>
      <w:pPr>
        <w:pStyle w:val="TextBody"/>
        <w:bidi w:val="0"/>
        <w:jc w:val="center"/>
        <w:rPr>
          <w:rFonts w:ascii="Times New Roman" w:hAnsi="Times New Roman"/>
          <w:b/>
          <w:color w:val="000000"/>
          <w:sz w:val="20"/>
        </w:rPr>
      </w:pPr>
      <w:r>
        <w:rPr>
          <w:rFonts w:ascii="Times New Roman" w:hAnsi="Times New Roman"/>
          <w:b/>
          <w:color w:val="000000"/>
          <w:sz w:val="20"/>
        </w:rPr>
        <w:t>Warrants</w:t>
      </w:r>
    </w:p>
    <w:p>
      <w:pPr>
        <w:pStyle w:val="TextBody"/>
        <w:bidi w:val="0"/>
        <w:jc w:val="center"/>
        <w:rPr>
          <w:rFonts w:ascii="Times New Roman" w:hAnsi="Times New Roman"/>
          <w:b/>
          <w:color w:val="000000"/>
          <w:sz w:val="20"/>
        </w:rPr>
      </w:pPr>
      <w:r>
        <w:rPr>
          <w:rFonts w:ascii="Times New Roman" w:hAnsi="Times New Roman"/>
          <w:b/>
          <w:color w:val="000000"/>
          <w:sz w:val="20"/>
        </w:rPr>
        <w:t>Units</w:t>
      </w:r>
    </w:p>
    <w:p>
      <w:pPr>
        <w:pStyle w:val="TextBody"/>
        <w:bidi w:val="0"/>
        <w:jc w:val="center"/>
        <w:rPr>
          <w:rFonts w:ascii="Times New Roman" w:hAnsi="Times New Roman"/>
          <w:b/>
          <w:color w:val="000000"/>
          <w:sz w:val="20"/>
        </w:rPr>
      </w:pPr>
      <w:r>
        <w:rPr>
          <w:rFonts w:ascii="Times New Roman" w:hAnsi="Times New Roman"/>
          <w:b/>
          <w:color w:val="000000"/>
          <w:sz w:val="20"/>
        </w:rPr>
        <w:t>Subscription Rights</w:t>
      </w:r>
    </w:p>
    <w:p>
      <w:pPr>
        <w:pStyle w:val="TextBody"/>
        <w:bidi w:val="0"/>
        <w:jc w:val="center"/>
        <w:rPr>
          <w:rFonts w:ascii="Times New Roman" w:hAnsi="Times New Roman"/>
          <w:b/>
          <w:color w:val="000000"/>
          <w:sz w:val="20"/>
        </w:rPr>
      </w:pPr>
      <w:r>
        <w:rPr>
          <w:rFonts w:ascii="Times New Roman" w:hAnsi="Times New Roman"/>
          <w:b/>
          <w:color w:val="000000"/>
          <w:sz w:val="20"/>
        </w:rPr>
        <w:t>Debt Securities</w:t>
      </w:r>
    </w:p>
    <w:p>
      <w:pPr>
        <w:pStyle w:val="TextBody"/>
        <w:bidi w:val="0"/>
        <w:jc w:val="left"/>
        <w:rPr>
          <w:rFonts w:ascii="Times New Roman" w:hAnsi="Times New Roman"/>
          <w:sz w:val="20"/>
        </w:rPr>
      </w:pPr>
      <w:r>
        <w:rPr>
          <w:rFonts w:ascii="Times New Roman" w:hAnsi="Times New Roman"/>
          <w:color w:val="000000"/>
          <w:sz w:val="13"/>
        </w:rPr>
        <w:t>We may offer and sell from time to time up to a total amount of US$250,000,000, consisting of (i) American Depositary Shares (the “ADSs”) each representing forty (40) Class A Ordinary Shares par value US$0.00001 per share (the “Class A Ordinary Shares”), (ii) Class A Ordinary Shares, (iii) warrants, (iv) units, (v) subscription rights, and (vi) debt securities or any combination thereof (the “Securities”), in one or more offerings under this prospectus at prices and on terms described in one or more supplements to this prospectus.</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3"/>
        </w:rPr>
      </w:pPr>
      <w:r>
        <w:rPr>
          <w:rFonts w:ascii="Times New Roman" w:hAnsi="Times New Roman"/>
          <w:color w:val="000000"/>
          <w:sz w:val="13"/>
        </w:rPr>
        <w:t>This prospectus describes some of the general terms that may apply to these Securities and the general manner in which they may be offered. 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 We may also authorize one or more free writing prospectuses. You should read carefully this prospectus, the applicable prospectus supplement and any related free writing prospectus, as well as the documents incorporated or deemed to be incorporated by reference, before you invest in any of our Securities.</w:t>
      </w:r>
    </w:p>
    <w:p>
      <w:pPr>
        <w:pStyle w:val="TextBody"/>
        <w:bidi w:val="0"/>
        <w:spacing w:before="60" w:after="283"/>
        <w:jc w:val="left"/>
        <w:rPr>
          <w:rFonts w:ascii="Times New Roman" w:hAnsi="Times New Roman"/>
          <w:color w:val="000000"/>
          <w:sz w:val="13"/>
        </w:rPr>
      </w:pPr>
      <w:r>
        <w:rPr>
          <w:rFonts w:ascii="Times New Roman" w:hAnsi="Times New Roman"/>
          <w:color w:val="000000"/>
          <w:sz w:val="13"/>
        </w:rPr>
        <w:t>The Securities covered by this prospectus may be offered and sold from time to time in the same offering or in separate offerings; to or through underwriters, dealers, and agents; or directly to purchasers. The names of any underwriters, dealers, or agents, if any,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11 of this prospectus.</w:t>
      </w:r>
    </w:p>
    <w:p>
      <w:pPr>
        <w:pStyle w:val="TextBody"/>
        <w:bidi w:val="0"/>
        <w:spacing w:before="60" w:after="283"/>
        <w:jc w:val="left"/>
        <w:rPr>
          <w:rFonts w:ascii="Times New Roman" w:hAnsi="Times New Roman"/>
          <w:color w:val="000000"/>
          <w:sz w:val="13"/>
        </w:rPr>
      </w:pPr>
      <w:r>
        <w:rPr>
          <w:rFonts w:ascii="Times New Roman" w:hAnsi="Times New Roman"/>
          <w:color w:val="000000"/>
          <w:sz w:val="13"/>
        </w:rPr>
        <w:t>Our ADSs are listed on the Nasdaq Global Market (“Nasdaq”) under the symbol “XCH.” On December 18, 2025, the closing trading price for the ADSs, as reported on the Nasdaq, was US$1.125 per ADS.</w:t>
      </w:r>
    </w:p>
    <w:p>
      <w:pPr>
        <w:pStyle w:val="TextBody"/>
        <w:bidi w:val="0"/>
        <w:spacing w:before="60" w:after="283"/>
        <w:jc w:val="left"/>
        <w:rPr>
          <w:rFonts w:ascii="Times New Roman" w:hAnsi="Times New Roman"/>
          <w:sz w:val="20"/>
        </w:rPr>
      </w:pPr>
      <w:r>
        <w:rPr>
          <w:rFonts w:ascii="Times New Roman" w:hAnsi="Times New Roman"/>
          <w:color w:val="000000"/>
          <w:sz w:val="13"/>
        </w:rPr>
        <w:t>Pursuant to General Instruction I.B.5 of Form F-3, in no event will we sell the Securities covered hereby in a public primary offering with a value exceeding more than one-third of the aggregate market value of our voting and non-voting common equity held by non-affiliates in any 12-month period so long as the aggregate market value of our outstanding voting and non-voting common equity held by non-affiliates remains below US$75,000,000. During the 12 calendar months prior to and including the date of this prospectus, we have not offered or sold any securities pursuant to General Instruction I.B.5 of Form F-3.</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3"/>
        </w:rPr>
        <w:t>Our issued and outstanding share capital consists of Class A Ordinary Shares and Class B Ordinary Shares, par value US$0.00001 per share (the “Class B Ordinary Shares”). Mr. Yifei Hou, our director and chief executive officer, and Mr. Rui Ding, our chairman and chief technology officer, beneficially own all of our issued Class B Ordinary Shares. Mr. Yifei Hou, as a result of his sole voting power and the shared voting power resulting from arrangement under acting- in-concert agreement entered into in August 2023, as of June 30, 2025 beneficially owned all of our issued Class B Ordinary Shares and was able to exercise 81.9% of the total voting power of our issued and outstanding share capital. Holders of Class A Ordinary Shares and Class B Ordinary Shares have the same rights except for voting and conversion rights. Each Class A ordinary share is entitled to one vote and each Class B Ordinary Share is entitled to ten votes.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 by a holder thereof to any non-affiliate to such holder, each of such Class B Ordinary Share will be automatically and immediately converted into one Class A ordinary share. See “Description of Share Capital.” As a result, Mr. Yifei Hou has the ability to control the outcome of matters submitted to the shareholders for approval. We are a “controlled company” within the meaning of the Nasdaq rules.</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3"/>
        </w:rPr>
      </w:pPr>
      <w:r>
        <w:rPr>
          <w:rFonts w:ascii="Times New Roman" w:hAnsi="Times New Roman"/>
          <w:color w:val="000000"/>
          <w:sz w:val="13"/>
        </w:rPr>
        <w:t>XCHG Limited is a Cayman Islands company with no substantial operations on its own. XCHG Limited conducts all of its operations through its subsidiaries in Germany, China, and the United States.</w:t>
      </w:r>
    </w:p>
    <w:p>
      <w:pPr>
        <w:pStyle w:val="TextBody"/>
        <w:bidi w:val="0"/>
        <w:spacing w:before="60" w:after="283"/>
        <w:jc w:val="left"/>
        <w:rPr>
          <w:rFonts w:ascii="Times New Roman" w:hAnsi="Times New Roman"/>
          <w:color w:val="000000"/>
          <w:sz w:val="13"/>
        </w:rPr>
      </w:pPr>
      <w:r>
        <w:rPr>
          <w:rFonts w:ascii="Times New Roman" w:hAnsi="Times New Roman"/>
          <w:color w:val="000000"/>
          <w:sz w:val="13"/>
        </w:rPr>
        <w:t>We face various legal and operational risks and uncertainties related to having a considerable portion of our operations in China. The PRC government has significant authority to exert influence on the ability of a China -based company to conduct its business, accept foreign investments or list on a U.S. or other foreign exchanges. For example, we face risks associated with regulatory approvals of offshore offerings, anti-monopoly regulatory actions, oversight on cybersecurity and data privacy. Such risks could result in a material impact on our operations and/or the value of the Securities or could significantly limit or completely hinder our ability to offer or continue to offer the Securities to investors and cause the value of such Securities to significantly decline or be worthless.</w:t>
      </w:r>
    </w:p>
    <w:p>
      <w:pPr>
        <w:pStyle w:val="TextBody"/>
        <w:bidi w:val="0"/>
        <w:spacing w:before="60" w:after="283"/>
        <w:jc w:val="left"/>
        <w:rPr>
          <w:rFonts w:ascii="Times New Roman" w:hAnsi="Times New Roman"/>
          <w:color w:val="000000"/>
          <w:sz w:val="13"/>
        </w:rPr>
      </w:pPr>
      <w:r>
        <w:rPr>
          <w:rFonts w:ascii="Times New Roman" w:hAnsi="Times New Roman"/>
          <w:color w:val="000000"/>
          <w:sz w:val="13"/>
        </w:rPr>
        <w:t>The PRC government has oversight over the conduct of our business. The PRC government may in the future release regulations or policies regarding our industry that could materially affect our business, financial condition, results of operations and prospects. Furthermore, the PRC government has recently promulgated laws and regulations that may result in more oversight and control over overseas securities offerings and other capital markets activities and foreign investment in China- based companies. Any such action, once taken by the PRC government, could significantly limit or completely hinder our ability to offer or continue to offer our Securities to investors and cause the value of such Securities to significantly decline or in extreme cases, become worthless.</w:t>
      </w:r>
    </w:p>
    <w:p>
      <w:pPr>
        <w:pStyle w:val="TextBody"/>
        <w:bidi w:val="0"/>
        <w:spacing w:before="60" w:after="283"/>
        <w:jc w:val="left"/>
        <w:rPr>
          <w:rFonts w:ascii="Times New Roman" w:hAnsi="Times New Roman"/>
          <w:color w:val="000000"/>
          <w:sz w:val="13"/>
        </w:rPr>
      </w:pPr>
      <w:r>
        <w:rPr>
          <w:rFonts w:ascii="Times New Roman" w:hAnsi="Times New Roman"/>
          <w:color w:val="000000"/>
          <w:sz w:val="13"/>
        </w:rPr>
        <w:t>Cash may be transferred among XCHG Limited and our subsidiaries in the following manner: (i) funds may be transferred to our subsidiaries from the company as needed in the form of capital contributions or shareholder loans through the intermediary holding companies, as the case may be; and (ii) dividends or other distributions may be paid by our subsidiaries to the company directly or through intermediary holding companies, as the case may be. Our operating subsidiaries generate and retain cash generated from operating activities and re-invest it in our business. In the future, the company’s ability to pay dividends, if any, to its shareholders and ADS holders and to service any debt it may incur will depend upon dividends paid by our subsidiaries. As of the date of this prospectus, we do not have cash management policies and procedures in place that dictate how funds are transferred through our organization.</w:t>
      </w:r>
    </w:p>
    <w:p>
      <w:pPr>
        <w:pStyle w:val="TextBody"/>
        <w:bidi w:val="0"/>
        <w:spacing w:before="60" w:after="283"/>
        <w:jc w:val="left"/>
        <w:rPr>
          <w:rFonts w:ascii="Times New Roman" w:hAnsi="Times New Roman"/>
          <w:color w:val="000000"/>
          <w:sz w:val="13"/>
        </w:rPr>
      </w:pPr>
      <w:r>
        <w:rPr>
          <w:rFonts w:ascii="Times New Roman" w:hAnsi="Times New Roman"/>
          <w:color w:val="000000"/>
          <w:sz w:val="13"/>
        </w:rPr>
        <w:t>We may engage in intra-group loans and transactions among the entities within our group from time to time. In 2024, XCHG Limited did not provide loans to any of our subsidiaries for fund support. Other than the US$350,000 loans to one of our subsidiaries for fund support in 2023, the cash transfers within our group in connection with our restructuring in 2023 for our initial public offering and the US$400,000 loan to one of our subsidiaries in May 2025, as of the date of this prospectus, XCHG Limited has not transferred any cash proceeds or other assets to any of our subsidiaries. Other than the restructuring in 2023, none of our subsidiaries have issued any dividends or distributions to their respective holding companies, including the company, nor have we issued any dividends or distributions to any investors of the company, as of the date of this prospectus. As of June 30, 2025, there is US$400,000 outstanding balance of loans between the company and XCharge North America under applicable agreements to support their daily operation. We do not expect to pay dividends in the foreseeable future. In the future, cash proceeds raised from financing activities, including this offering, may be transferred by us through intermediary holding companies to our subsidiaries via capital contribution and shareholder loans, as the case may be, to meet the capital needs of our business operations.</w:t>
      </w:r>
    </w:p>
    <w:p>
      <w:pPr>
        <w:pStyle w:val="TextBody"/>
        <w:bidi w:val="0"/>
        <w:spacing w:before="60" w:after="283"/>
        <w:jc w:val="left"/>
        <w:rPr>
          <w:rFonts w:ascii="Times New Roman" w:hAnsi="Times New Roman"/>
          <w:sz w:val="20"/>
        </w:rPr>
      </w:pPr>
      <w:r>
        <w:rPr>
          <w:rFonts w:ascii="Times New Roman" w:hAnsi="Times New Roman"/>
          <w:b/>
          <w:color w:val="000000"/>
          <w:sz w:val="13"/>
        </w:rPr>
        <w:t>We are an “emerging growth company” under applicable U.S. federal securities laws and are subject to reduced public company reporting requirements.</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3"/>
        </w:rPr>
        <w:t>Investing in our Securities involves risks. See “Risk Factors” beginning on page 5 of this prospectus and in the documents incorporated by reference into this prospectus, as updated in the applicable prospectus supplement, any related free writing prospectus and other future filings we make with the SEC that are incorporated by reference into this prospectus, for a discussion of the factors you should consider carefully before deciding to purchase our Securities.</w:t>
      </w:r>
      <w:r>
        <w:rPr>
          <w:rFonts w:ascii="Times New Roman" w:hAnsi="Times New Roman"/>
          <w:color w:val="000000"/>
          <w:sz w:val="20"/>
        </w:rPr>
        <w:t xml:space="preserve"> </w:t>
      </w:r>
    </w:p>
    <w:p>
      <w:pPr>
        <w:pStyle w:val="TextBody"/>
        <w:bidi w:val="0"/>
        <w:spacing w:before="60" w:after="283"/>
        <w:jc w:val="left"/>
        <w:rPr>
          <w:rFonts w:ascii="Times New Roman" w:hAnsi="Times New Roman"/>
          <w:b/>
          <w:color w:val="000000"/>
          <w:sz w:val="13"/>
        </w:rPr>
      </w:pPr>
      <w:r>
        <w:rPr>
          <w:rFonts w:ascii="Times New Roman" w:hAnsi="Times New Roman"/>
          <w:b/>
          <w:color w:val="000000"/>
          <w:sz w:val="13"/>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120" w:after="283"/>
        <w:jc w:val="center"/>
        <w:rPr>
          <w:rFonts w:ascii="Times New Roman" w:hAnsi="Times New Roman"/>
          <w:color w:val="000000"/>
          <w:sz w:val="13"/>
        </w:rPr>
      </w:pPr>
      <w:r>
        <w:rPr>
          <w:rFonts w:ascii="Times New Roman" w:hAnsi="Times New Roman"/>
          <w:color w:val="000000"/>
          <w:sz w:val="13"/>
        </w:rPr>
        <w:t>The date of this prospectus is January 29,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special_note_regarding_forward_looking_"/>
      <w:bookmarkEnd w:id="16"/>
      <w:r>
        <w:rPr>
          <w:rFonts w:ascii="Times New Roman" w:hAnsi="Times New Roman"/>
          <w:b/>
          <w:color w:val="000000"/>
          <w:sz w:val="20"/>
        </w:rPr>
        <w:t>SPECIAL NOTE REGARDING FORWARD-LOOKING STATEMENTS AND INDUSTRY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and the documents incorporated by reference herein contain forward-looking statements within the meaning of the safe harbor provision of the United States Private Securities Litigation Reform Act of 1995 and releases issued by the SEC and within the meaning of Section 27A of the Securities Act and Section 21E of the Exchange Act. These forward-looking statements include information concerning possible or projected future results of our operations, including statements about potential acquisition or merger targets, strategies or plans; business strategies; prospects; future cash flows; financing plans; plans and objectives of management; any other statements regarding future cash needs, future operations, business plans and future financial results; and any other statements that are not historical facts. Many of the forward-looking statements contained in this prospectus can be identified by the use of forward-looking words such as “anticipate,” “believe,” “could,” “expect,” “should,” “plan,” “intend,” “estimate,” “potential” and other words and terms of similar meaning or the negative of such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goals and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development and introduction, and market acceptance, of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business development,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growth in, and market size of, the global EV charger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changes in our revenue, costs or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demand for and market acceptance of our brand,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growth in our customers and level of engagement;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retain and monetize our customer base;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develop new technologies and/or upgrade our existing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regarding the use of proceeds from this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growth of and trends of competition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policies and regulations relating to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business conditions of the markets in which we have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the_company"/>
      <w:bookmarkEnd w:id="17"/>
      <w:r>
        <w:rPr>
          <w:rFonts w:ascii="Times New Roman" w:hAnsi="Times New Roman"/>
          <w:b/>
          <w:color w:val="000000"/>
          <w:sz w:val="20"/>
        </w:rPr>
        <w:t>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offer comprehensive electric vehicle (“EV”) charging solutions which primarily include the direct current (“DC”) fast chargers named the C6 series and the C7 series, the advanced battery-integrated DC fast chargers including Net Zero Series, or NZS, and GridLink (designed specifically for the North American grid), as well as our accompanying services. Our integrated solution combining proprietary charging technology, energy storage technology and accompanying services significantly improves EV charging efficiency and unlocks the value of energy storage and management. We were a leading high power charger supplier in Europe by sales volume in 2025. As of the date of this prospectus, we have begun the commercial deployment of our NZS solution in Europe, the Americas and Asia. Customers of NZS solutions include EV manufacturers, global energy players and charge point operators.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increasing adoption of EV and renewable energy has brought fundamental changes to the demand and supply of electricity. Not only has electricity demand increased in aggregate, but peak demand patterns have also changed. In addition, the intermittent nature of renewable energy generation has led to greater energy supply fluctuation. As a result, there is an imminent need for energy storage solutions to balance electricity demand and supply in order to increase energy utilization and reduce the pressure of grids.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pioneer in the EV charger industry, we believe EV charging is essentially an energy management business that uses innovative technologies and creative solutions to tackle energy problems. Leveraging our established fast charging technology, as well as our in-house proprietary energy storage system technology, we have pioneered unique advanced battery-integrated EV charging solutions, including NZS and GridLink. NZS and GridLink chargers integrate DC fast chargers with lithium-ion batteries and our proprietary energy management system, or EMS, storing power when it is generally more available (for example, during nighttime) and discharging power when the demand is high (for example, during daytime).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NZS and GridLink solutions enable fast charging at low power locations or vis-à-vis aged grid infrastructures (which typically are not compatible with fast charging equipment) with no significant site improvements or grid upgrades needed. With the unique “plug-and-play” design, our NZS and GridLink chargers are easy to install and highly deployable in locations where conventional fast chargers cannot be installed, for example national parks, parking lots or communities with insufficient power capacity. Therefore, we believe that our battery-integrated solutions are able to address a larger market, which cannot be reached by conventional fast chargers.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NZS and GridLink solutions are designed with a Battery-to-Grid (“B2G”) function. It enables energy to be purchased during off-peak hours at lower prices, and sold back to the grid during peak hours at higher prices, enabling operators to generate profit even if no vehicle is charging. With this unique feature, our customers can achieve a return even before considering the utilization of the EV charger itself. This increases the overall return on investment for our customers. At the core of our NZS and GridLink solutions is our proprietary energy management system, which automatically optimizes energy supply and usage across the grids, batteries and EVs.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pursue the digitalization of EV charging solutions, our proprietary software system aims to provide customers with comprehensive solutions catering to different and evolving needs in the EV era, as well as to offer superior user experience. Our software system features an intuitive user interface, where our customers can monitor and control every key detail of the charging network easily, including real-time safety monitoring, traffic settings, and data analysis. We offer upgrades to our software system over-the-air to provide more functions and enhance user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“charger-as-a-service” business model enables us to achieve highly visible revenue streams from repeated purchases from our blue-chip customers. Complementary to the initial sales of products, we generate recurring revenue from the accompanying services throughout the entire life cycle. As the number of installed chargers grows, we expect recurring revenue to account for an increasing portion of our total revenue. In addition, our NZS and GridLink solutions are expected to create new commercialization opportunities for us. For example, with the B2G function, NZS and GridLink chargers can sell energy back to the grid during peak hours.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formed key customer relationships and partnerships with EV manufacturers, global energy players, charge point operators and EV fleets.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our NZS and GridLink solutions, we can essentially penetrate the areas where conventional fast chargers cannot be installed given the grid constraint.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creates opportunities for us to extend our customer base to a broader group that cannot be reached by conventional fast chargers.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established global presence with offices, research and development (“R&amp;D”) centers and sales centers in Europe, the Americas and Asia. We currently deploy our solutions primarily in Europe while we also recognize revenue from other regions, including the United States, China, Brazil and Chile. As of December 31, 2025, our R&amp;D team included 85 personnel based in the United States, Germany and China. For production, we primarily rely on original equipment manufacturers (“OEMs”) to manufacture our products. By using OEMs, we are able to commercialize our products with quality assurance at a higher speed and lower upfront costs. It also gives us greater flexibility to adjust and scale up according to demand.</w:t>
      </w:r>
    </w:p>
    <w:p>
      <w:pPr>
        <w:pStyle w:val="TextBody"/>
        <w:bidi w:val="0"/>
        <w:spacing w:before="240" w:after="283"/>
        <w:jc w:val="center"/>
        <w:rPr>
          <w:rFonts w:ascii="Times New Roman" w:hAnsi="Times New Roman"/>
          <w:b/>
          <w:color w:val="000000"/>
          <w:sz w:val="20"/>
        </w:rPr>
      </w:pPr>
      <w:bookmarkStart w:id="18" w:name="corporate_information"/>
      <w:bookmarkEnd w:id="18"/>
      <w:r>
        <w:rPr>
          <w:rFonts w:ascii="Times New Roman" w:hAnsi="Times New Roman"/>
          <w:b/>
          <w:color w:val="000000"/>
          <w:sz w:val="20"/>
        </w:rPr>
        <w:t>CORPORATE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executive offices are located at XCharge Europe GmbH, Heselstücken 18, 22453 Hamburg, Germany and XCharge Energy USA Inc, 19121 Marketplace Avenue, Building 2-Suite 2-145, Kyle, TX 78640, United States. Our telephone numbers at these addresses are +49 4057128593 and +1 5122149159, respectively. Our registered office in Cayman Islands is at the offices of ICS Corporate Services (Cayman) Limited of Palm Grove Unit 4, 265 Smith Road, George Town, P.O. Box 52A Edgewater Way, #1653, Grand Cayman KY1-9006, Cayman Islands.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foreign private issuer under the Securities Exchange Act of 1934, as amended (the “Exchange Act”), and as such we are exempt from certain provisions of the securities rules and regulations in the United States that are applicable to U.S. domestic issuers.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should contact us for any inquiries through the addresses and telephone numbers of our principal executive offices. Our website is https://xcharge.com/. The information contained on our website is not a part of this prospectus.</w:t>
      </w:r>
    </w:p>
    <w:p>
      <w:pPr>
        <w:pStyle w:val="TextBody"/>
        <w:bidi w:val="0"/>
        <w:spacing w:before="240" w:after="283"/>
        <w:jc w:val="center"/>
        <w:rPr>
          <w:rFonts w:ascii="Times New Roman" w:hAnsi="Times New Roman"/>
          <w:b/>
          <w:color w:val="000000"/>
          <w:sz w:val="20"/>
        </w:rPr>
      </w:pPr>
      <w:bookmarkStart w:id="19" w:name="risk_factors_"/>
      <w:bookmarkEnd w:id="19"/>
      <w:r>
        <w:rPr>
          <w:rFonts w:ascii="Times New Roman" w:hAnsi="Times New Roman"/>
          <w:b/>
          <w:color w:val="000000"/>
          <w:sz w:val="20"/>
        </w:rPr>
        <w:t>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Investing in our Securities involves a high degree of risks. Before you make a decision to purchase our Securities, in addition to the risks and uncertainties discussed below under “Special Note Regarding Forward- Looking Statements and Industry Data,” you should carefully consider the risk factors incorporated by reference to our most recent Annual Report on Form 20-F, our subsequent Reports of Foreign Private Issuer on Form 6-K, and the other information contained in this prospectus, as updated by our subsequent filings under the Exchange Act, as well as the risk factors and any other information contained in any document incorporated by reference or any accompanying prospectus supplement. If any of these risks actually occur, it may materially harm our business, results of operations, financial condition and prospects. As a result, the market price of our Securities could decline, and you could lose all or part of your investment.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risks and uncertainties described in, or incorporated by reference to, this prospectus, including our consolidated financial statements and the related notes, are not the only risks and uncertainties that we face. Additional risks and uncertainties not presently known to us or that we currently believe to be immaterial may become material and adversely affect our business.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0" w:name="use_of_proceeds_"/>
      <w:bookmarkEnd w:id="20"/>
      <w:r>
        <w:rPr>
          <w:rFonts w:ascii="Times New Roman" w:hAnsi="Times New Roman"/>
          <w:b/>
          <w:color w:val="000000"/>
          <w:sz w:val="20"/>
        </w:rPr>
        <w:t>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specified in the applicable prospectus supplement, we intend to use the net proceeds from the sale of Securities offered by this prospectus for general corporate purposes, including, without limitation, the funding of capital expenditures and working capital needs. We will set forth in the applicable prospectus supplement our intended use for the net proceeds received from the sale of any Securities.</w:t>
      </w:r>
    </w:p>
    <w:p>
      <w:pPr>
        <w:pStyle w:val="TextBody"/>
        <w:bidi w:val="0"/>
        <w:spacing w:before="240" w:after="283"/>
        <w:jc w:val="center"/>
        <w:rPr>
          <w:rFonts w:ascii="Times New Roman" w:hAnsi="Times New Roman"/>
          <w:b/>
          <w:color w:val="000000"/>
          <w:sz w:val="20"/>
        </w:rPr>
      </w:pPr>
      <w:bookmarkStart w:id="21" w:name="description_of_share_capital"/>
      <w:bookmarkEnd w:id="21"/>
      <w:r>
        <w:rPr>
          <w:rFonts w:ascii="Times New Roman" w:hAnsi="Times New Roman"/>
          <w:b/>
          <w:color w:val="000000"/>
          <w:sz w:val="20"/>
        </w:rPr>
        <w:t>DESCRIPTION OF SHARE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Cayman Islands exempted company and our affairs are governed by our memorandum and articles of association, as amended and restated from time to time, and Companies Act (As Revised) of the Cayman Islands, or Companies Act, and the common law of the Cayman Islands.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Exempted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have to file an annual return of its shareholders with the Registrar of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not required to open its register of members for inspection;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have to hold an annual general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issue shares with no par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obtain an undertaking against the imposition of any future taxation (such undertakings are usually given for 30 years in the first instance);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register by way of continuation in another jurisdiction and be deregistered in the Cayman Islands;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register as a limited duration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register as a segregated portfolio company.</w:t>
      </w:r>
    </w:p>
    <w:p>
      <w:pPr>
        <w:pStyle w:val="TextBody"/>
        <w:bidi w:val="0"/>
        <w:spacing w:before="240" w:after="283"/>
        <w:jc w:val="left"/>
        <w:rPr>
          <w:color w:val="000000"/>
        </w:rPr>
      </w:pPr>
      <w:r>
        <w:rPr>
          <w:color w:val="000000"/>
        </w:rPr>
        <w:t>“</w:t>
      </w:r>
      <w:r>
        <w:rPr>
          <w:rFonts w:ascii="Times New Roman" w:hAnsi="Times New Roman"/>
          <w:color w:val="000000"/>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Ordinary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authorized share capital is US$50,000 divided into 5,000,000,000 ordinary shares with a par value of US$0.00001 each, comprising (a) 4,258,745,553 Class A Ordinary Shares with a par value of US$0.00001 each, and (b) 741,254,447 Class B Ordinary Shares with a par value of US$0.00001 each.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ordinary shares will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our ordinary shares are entitled to receive such dividends as may be declared by our board of directors subject to our memorandum and articles of association and the Companies Act. In addition, our shareholders may by ordinary resolution declare a dividend, but no dividend may exceed the amount recommended by our directors. Our memorandum and articles of association provide that dividends may be declared and paid out of our profits, realized or unrealized, or from any reserve set aside from profits which our board of directors determines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Classes of Ordinary Shares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ordinary shares are divided into Class A Ordinary Shares and Class B Ordinary Shares. Except for conversion rights and voting rights, the Class A Ordinary Shares and Class B Ordinary Shares shall carry equal rights and rank </w:t>
      </w:r>
      <w:r>
        <w:rPr>
          <w:rFonts w:ascii="Times New Roman" w:hAnsi="Times New Roman"/>
          <w:i/>
          <w:color w:val="000000"/>
          <w:sz w:val="20"/>
        </w:rPr>
        <w:t>pari passu</w:t>
      </w:r>
      <w:r>
        <w:rPr>
          <w:rFonts w:ascii="Times New Roman" w:hAnsi="Times New Roman"/>
          <w:color w:val="000000"/>
          <w:sz w:val="20"/>
        </w:rPr>
        <w:t xml:space="preserve"> with one another, including but not limited to the rights to dividends and other capital distributions.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Conversion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Class B Ordinary Share is convertible into one Class A ordinary share at any time by the holder thereof, while Class A Ordinary Shares are not convertible into Class B Ordinary Shares under any circumstances.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respect of all matters subject to a shareholders’ vote, holders of Class A Ordinary Shares and Class B Ordinary Shares shall, at all times, vote together as one class on all matters submitted to a vote by the members at any such general meeting. Each Class A ordinary share shall be entitled to one vote, and each Class B Ordinary Share shall be entitled to ten votes, on all matters subject to the vote at general meetings of our company. Voting at any meeting of shareholders is by show of hands unless a poll is demanded. A poll may be demanded by the chairman of such meeting or any one shareholder.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memorandum and articles of association.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Meetings and Shareholder Proposals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Cayman Islands exempted company, we are not obliged by the Companies Act to call shareholders’ annual general meetings. Our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of the Nasdaq.</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general meeting, other than an annual general meeting, shall be an extraordinary general meeting. Shareholders’ annual general meetings and any other general meetings of our shareholders may be called by a majority of our board of directors or our chairman. Cayman Islands law provides shareholders with only limited rights to requisition a general meeting, and does not provide shareholders with any right to put any proposal before a general meeting. However, these rights may be provided in a company’s memorandum and articles of association. Our memorandum and articles of association allow our shareholders holding shares representing in aggregate not less than one-third of all votes attaching to the issued and outstanding shares of our company entitled to vote at general meetings to requisition a special meeting of the shareholders, in which case the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quorum required for a meeting of shareholders consists of one or more shareholders holding, in aggregate, not less than a majority of the votes attaching to all paid up share capital of our company present in person or by proxy or, if a corporation or other nonnatural person, by its duly authorized representative. Advance notice of at least seven business days is required for the convening of our annual general meeting and other general meetings unless such notice is waived in accordance with our articles of association.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Transfer of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restrictions in our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instrument of transfer is lodged with us, accompanied by the certificate for the ordinary shares to which it relates and such other evidence as our board of directors may reasonably require to show the right of the transferor to make the transfer;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instrument of transfer is in respect of only one class of shares; the instrument of transfer is properly stamped, if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 transfer to joint holders, the number of joint holders to whom the ordinary share is to be transferred does not exceed four;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shares are free from any lien in favor of the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fee of such maximum sum as the Nasdaq may determine to be payable or such lesser sum as our directors may from time to time require is paid to us in respect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directors refuse to register a transfer they shall, within two months after the date on which the instrument of transfer was lodged, send to each of the transferor and the transferee notice of such refusal.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registration of transfers may, after compliance with any notice required of the Nasdaq, be suspended and the register closed at such times and for such periods as our board of directors may in their absolute discretion from time to time determine, provided, however, that the registration of transfers shall not be suspended nor the register closed for more than 30 days in any year as our board may determine.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Issuance of Additional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memorandum and articles of association authorize our board of directors to issue additional ordinary shares from time to time as our board of directors shall determine, to the extent of available authorized but unissued shares.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return of capital on winding up or otherwise (other than on conversion, redemption 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Calls on Ordinary Shares and Forfeiture of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may from time to time make calls upon shareholders for any amounts unpaid on their ordinary shares in a notice served to such shareholders at least 14 days prior to the specified time of payment. The ordinary shares that have been called upon and remain unpaid are subject to forfeiture.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Redemption, Repurchase and Surrender of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Variations of Rights of Shares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a majority of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hAnsi="Times New Roman"/>
          <w:i/>
          <w:color w:val="000000"/>
          <w:sz w:val="20"/>
        </w:rPr>
        <w:t xml:space="preserve">pari passu </w:t>
      </w:r>
      <w:r>
        <w:rPr>
          <w:rFonts w:ascii="Times New Roman" w:hAnsi="Times New Roman"/>
          <w:color w:val="000000"/>
          <w:sz w:val="20"/>
        </w:rPr>
        <w:t>with such existing class of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Inspection of Books and Records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our ordinary shares have no general right under Cayman Islands law to inspect or obtain copies of our list of shareholders or our corporate records (save for our memorandum and articles of association, special resolutions and the register of mortgages and charges). See “Where You Can Find Additional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shareholders may from time to time by ordinary resolutions: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the share capital by such sum, to be divided into shares of such classes and amount, as the resolution prescribes;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 and divide all or any of our share capital into shares of a larger amount than our existing shares;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convert all or any of its paid-up shares into stock and reconvert the stock into paid up shares of any denomination;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sub-divide our existing shares, or any of them into shares of a smaller amount than that fixed by our memorandum and articles of association; provided that in the subdivision the proportion between the amount paid and the amount, if any, unpaid on each reduced share will be the same as it was in case of the share from which the reduced share is derived;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cancel any shares which, at the date of the passing of the resolution, have not been taken or agreed to be taken by any person and diminish the amount of our share capital by the amount of the shares so canceled.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shareholders may by special resolution, subject to confirmation by the Grand Court of the Cayman Islands on an application by our company for an order confirming such reduction, reduce our share capital and any capital redemption reserve in any manner authorized by law.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Register of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Companies Act, we must keep a register of members and there should be entered therein: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names and addresses of our members, together with a statement of the shares held by each member, and such statement shall confirm of (i) the amount paid or agreed to be considered as paid, on the shares of each member, (ii) the number and category of shares held by each member, and (iii) whether each relevant category of shares held by a member carries voting rights under the articles of association of the company, and if so, whether such voting rights are conditional;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the name of any person was entered on the register as a member;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any person ceased to be a member.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We have performed the procedure necessary to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Differences in Corporate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Companies Act is derived, to a large extent, from the older Companies Acts of England, but does not follow recent English law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certain significant differences between the provisions of the Companies Act applicable to us and the laws applicable to United States corporations and their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Mergers and Similar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Companies Act permits mergers and consolidations between Cayman Islands companies and between Cayman Islands companies and non-Cayman Islands companies. For these purposes, (a) “merger” means the merging of two or more constituent companies and the vesting of their undertakings, property and liabilities in one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such companies as the surviving company and (b) a “consolidation” means the combination of two or more constituent companies into a consolidated company and the vesting of the undertakings,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consent of each holder of a fixed or floating security interest over a constituent company is required unless this requirement is waived by a court in the Cayman Islands.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court the view that the transaction ought not to be approved, the court can be expected to approve the arrangement if it determines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statutory provisions as to the due majority vote have been met;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shareholders have been fairly represented at the meeting in question and the statutory majority are acting bona fide without coercion of the minority to promote interests adverse to those of the class;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arrangement is such that may be reasonably approved by an intelligent and honest man of that class acting in respect of his interest;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arrangement is not one that would more properly be sanctioned under some other provision of the Companies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Companies Act also contains a statutory power of compulsory acquisition which may facilitate the “squeeze out” of dissentient minority shareholders upon a tender offer. When a tender offer is made and accepted by holders of 90% in value of the shares for which the offer has been made, the offeror may, within a two-month period after the approval by the said holders, require the holders of the remaining shares to transfer such shares to the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arrangement and reconstruction is thus approved, or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Shareholders’ Suits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principle, we will normally be the proper plaintiff in any action or proceedings to be brought in respect of a wrong committed against us,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w:t>
      </w:r>
      <w:r>
        <w:rPr>
          <w:rFonts w:ascii="Times New Roman" w:hAnsi="Times New Roman"/>
          <w:i/>
          <w:color w:val="000000"/>
          <w:sz w:val="20"/>
        </w:rPr>
        <w:t>Foss v. Harbottle</w:t>
      </w:r>
      <w:r>
        <w:rPr>
          <w:rFonts w:ascii="Times New Roman" w:hAnsi="Times New Roman"/>
          <w:color w:val="000000"/>
          <w:sz w:val="20"/>
        </w:rPr>
        <w:t xml:space="preserve"> and the exceptions thereto) which permit a minority shareholder to commence a class action against, or a derivative action in the name of, a company to challenge the following acts in the following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 acts or proposes to act illegally or ultra vires;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 complained of, although not ultra vires, could only be effected duly if authorized by more than a simple majority vote that has not been obtained;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those who control the company are perpetrating a “fraud on the minority.”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of Directors and Executive Officers and Limitation of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provides that that we shall indemnify our officers and directors against all actions, proceedings, costs, charges, losses, damages and expenses incurred or sustained by such directors or officers by reason of any act done or omitted in or about the execution of their duty in their respective offices, other than by reason of such person’s own fraud or dishonesty. This standard of conduct is generally the same as permitted under the Delaware General Corporation Law for a Delaware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Directors’ Fiduciary Duties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matter of Cayman Islands law, a director of a Cayman Islands company is in the position of a fiduciary with respect to the company, and therefore he or she owes the following duties to the company —  a duty to act bona fide in the best interests of the company, a duty not to make a personal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English and commonwealth courts are moving towards an objective standard with regard to the required skill and care) and these authorities are likely to be followed in the Cayman Islands.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our memorandum and articles of association, directors who are in any way, whether directly or indirectly, interested in a contract or proposed contract with our company must declare the nature of their interest at a meeting of the board of directors. Subject to Listing Rules of the Nasdaq and disqualification by the chairman of the relevant board meeting, a director may vote in respect of any contract, proposed contract, arrangement or transaction notwithstanding his interest.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Shareholder Action by Written Resolution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Delaware General Corporation Law, a corporation may eliminate the right of shareholders to act by written consent by amendment to its certificate of incorporation. The Companies Act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Shareholder Proposals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Cumulative Voting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Removal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Delaware General Corporation Law, a director of a corporation may be removed with the approval of a majority of the outstanding shares entitled to vote, unless the certificate of incorporation provides otherwise. Under our memorandum and articles of association, directors can be removed by an ordinary resolution. In addition, a director’s office shall be vacated if the director (i) gives notice in writing to the company that he or she resigns the office of director; (ii) dies, becomes bankrupt or makes any arrangement or composition with his creditors generally; (iii) is prohibited by any applicable law or rules of the Nasdaq from being a director; (iv) is found to be or becomes of unsound mind; or (v) is removed from office pursuant to any other provisions of our memorandum and articles of association.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Transactions with Interested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Dissolution and Winding 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of association, our company may be dissolved, liquidated or wound up by a special resolution of our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Variation of Rights of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Amendment of Governing Documents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Inspection of Books and Records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Delaware General Corporation Law, any shareholder of a corporation may for any proper purpose inspect or make copies of the corporation’s stock ledger, list of shareholders and other books and records.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our shares will have no general right under Cayman Islands law to inspect or obtain copies of our list of shareholders or our corporate records. However, we intend to provide our shareholders with annual reports containing audited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under Cayman Islands law, our directors may only exercise the rights and powers granted to them under our post-IPO memorandum and articles of association for a proper purpose and for what they believe in good faith to be in the best interests of our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Rights of Non-Resident or Foreign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limitations imposed by our memorandum and articles of association on the rights of nonresident or foreign shareholders to hold or exercise voting rights on our ordinary shares. In addition, there are no provisions in our memorandum and articles of association that require our company to disclose shareholder ownership above any particular ownership threshold.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Investors’ Right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4, 2023, we entered into an investors’ right agreement (as may be amended from time to time, the “Investors’ Right Agreement”) with certain shareholders and/or their affiliates.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current Investors’ Right Agreement, upon written request of any investor, if the company plans to register any ordinary shares in connection with a public offering in the United States, then such investor shall have the right to have all or any portion of the securities of the company held by such investor included in such registration, provided that such investor accepts the terms of the underwritten offering as agreed upon between the company, such other shareholders, if any, and the managing underwriter of such offering. If the managing underwriter determines that the registration of all or part of the securities which the investors have requested to be included would materially adversely affect the success of such offering, then the company shall be required to include in such registration, to the extent of the amount that the managing underwriter believes may be sold without causing such adverse effect, first, all of the securities to be offered for the account of the company; second, the securities to be offered for the account of the investors, pro rata based on the number of securities owned by each such investor; and third, any other securities requested to be included in such offering.</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description_of_american_depositary_sha"/>
      <w:bookmarkEnd w:id="22"/>
      <w:r>
        <w:rPr>
          <w:rFonts w:ascii="Times New Roman" w:hAnsi="Times New Roman"/>
          <w:b/>
          <w:color w:val="000000"/>
          <w:sz w:val="20"/>
        </w:rPr>
        <w:t>DESCRIPTION OF AMERICAN DEPOSITARY SHARES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American Depositary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Bank of New York Mellon, as depositary, registers and delivers ADSs. Each ADS represents 40 Class A Ordinary Shares (or a right to receive 40 Class A Ordinary Shares) deposited with The Hongkong and Shanghai Banking Corporation Limited, as custodian for the depositary in Hong Kong.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New York 10286.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ADSs may be held (A) directly (i) by having an American Depositary Receipt, also referred to as an ADR, which is a certificate evidencing a specific number of ADSs, registered in the holder’s name, or (ii) by having uncertificated ADSs registered in the holder’s name, or (B) indirectly by holding a security entitlement in ADSs through a broker or other financial institution that is a direct or indirect participant in The Depository Trust Company (“DTC”). If ADSs are held directly, the holder is a registered ADS holder (an “ADS holder”). Indirect holders must rely on the procedures of their broker or other financial institution to assert the rights of ADS holders described in this section. Indirect holders should consult with their broker or financial institution to find out what those procedures 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Registered holders of uncertificated ADSs will receive statements from the depositary confirming their holdings.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ADS holders are not treated as one of our shareholders and will not have shareholder rights. Cayman Islands law governs our shareholder rights. The depositary is the holder of the Class A Ordinary Shares underlying ADSs. Registered holders of ADSs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the material provisions of the deposit agreement. For more complete information, you should read the entire deposit agreement and the form of ADR. These documents are included or incorporated by reference as exhibits to this registration statement. See “Where You Can Find Additional Information” for directions on how to obtain copies of those documents.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Dividends and Other Distributions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How will ADS holders receive dividends and other distributions on the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has agreed to pay or distribute to ADS holders the cash dividends or other distributions it or the custodian receives on shares or other deposited securities, upon payment or deduction of its fees and expenses. ADS holders will receive these distributions in proportion to the number of shares their ADSs represent.</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Cash. </w:t>
      </w:r>
      <w:r>
        <w:rPr>
          <w:rFonts w:ascii="Times New Roman" w:hAnsi="Times New Roman"/>
          <w:color w:val="000000"/>
          <w:sz w:val="20"/>
        </w:rPr>
        <w:t>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Times New Roman" w:hAnsi="Times New Roman"/>
          <w:i/>
          <w:color w:val="000000"/>
          <w:sz w:val="20"/>
        </w:rPr>
        <w:t>If the exchange rates fluctuate</w:t>
      </w:r>
      <w:r>
        <w:rPr>
          <w:rFonts w:ascii="Times New Roman" w:hAnsi="Times New Roman"/>
          <w:color w:val="000000"/>
          <w:sz w:val="20"/>
        </w:rPr>
        <w:t xml:space="preserve"> </w:t>
      </w:r>
      <w:r>
        <w:rPr>
          <w:rFonts w:ascii="Times New Roman" w:hAnsi="Times New Roman"/>
          <w:i/>
          <w:color w:val="000000"/>
          <w:sz w:val="20"/>
        </w:rPr>
        <w:t>during a time when the depositary cannot convert the foreign currency, ADS holders may lose some of the value of the distribution</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Shares. </w:t>
      </w:r>
      <w:r>
        <w:rPr>
          <w:rFonts w:ascii="Times New Roman" w:hAnsi="Times New Roman"/>
          <w:color w:val="000000"/>
          <w:sz w:val="20"/>
        </w:rPr>
        <w:t>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Rights to purchase additional shares. </w:t>
      </w:r>
      <w:r>
        <w:rPr>
          <w:rFonts w:ascii="Times New Roman" w:hAnsi="Times New Roman"/>
          <w:color w:val="000000"/>
          <w:sz w:val="20"/>
        </w:rPr>
        <w:t>If we offer holders of our securities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ADS holders will receive no value for them. The depositary will exercise or distribute rights only if we ask it to and provide satisfactory assurances to the depositary that it is legal to do so. If the depositary exercises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Other distributions. </w:t>
      </w:r>
      <w:r>
        <w:rPr>
          <w:rFonts w:ascii="Times New Roman" w:hAnsi="Times New Roman"/>
          <w:color w:val="000000"/>
          <w:sz w:val="20"/>
        </w:rPr>
        <w:t>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 w:hAnsi="Times New Roman"/>
          <w:i/>
          <w:color w:val="000000"/>
          <w:sz w:val="20"/>
        </w:rPr>
        <w:t>This means that ADS holder may not receive the distributions</w:t>
      </w:r>
      <w:r>
        <w:rPr>
          <w:rFonts w:ascii="Times New Roman" w:hAnsi="Times New Roman"/>
          <w:color w:val="000000"/>
          <w:sz w:val="20"/>
        </w:rPr>
        <w:t xml:space="preserve"> </w:t>
      </w:r>
      <w:r>
        <w:rPr>
          <w:rFonts w:ascii="Times New Roman" w:hAnsi="Times New Roman"/>
          <w:i/>
          <w:color w:val="000000"/>
          <w:sz w:val="20"/>
        </w:rPr>
        <w:t>we make on our shares or any value for them if it is illegal or impractical for us to make them available to ADS holders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Deposit, Withdrawal and Cancellation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How are ADSs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will deliver ADSs if a holder or their broker deposits shares or evidence of rights to receive shares with the custodian. Upon payment of its fees and expenses and of any taxes or charges, such as stamp taxes or stock transfer taxes or fees, the depositary will register the appropriate number of ADSs in the names the holder requests and will deliver the ADSs to or upon the order of the person or persons that made the deposit.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How can ADS holders withdraw the deposited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ADS holders may surrender their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the ADS holder’s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the ADS holder a fee and its expenses for instructing the custodian regarding delivery of deposited securities.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How do ADS holders interchange between certificated ADSs and uncertificated ADSs?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ADS holders may surrender their ADR to the depositary for the purpose of exchanging their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Voting Rights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How do ADS holders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ADS holders may instruct the depositary how to vote the number of deposited shares their ADSs represent. See “Description of Share Capital” for more information on the voting rights of our Class A Ordinary Shares underlying the ADSs. If we request the depositary to solicit ADS holders’ voting instructions (and we are not required to do so), the depositary will notify ADS holders of a shareholders’ meeting and send or make voting materials available to ADS holders.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voting instructions, ADS holders can still send voting instructions, and, in that case, the depositary may try to vote as the ADS holders instruct, but it is not required to do so.</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Except by instructing the depositary as described above, ADS holders will not be able to exercise voting rights unless they surrender their ADSs and withdraw the Class A Ordinary Shares. However, ADS holders may not know about the meeting enough in advance to withdraw the shares. </w:t>
      </w:r>
      <w:r>
        <w:rPr>
          <w:rFonts w:ascii="Times New Roman" w:hAnsi="Times New Roman"/>
          <w:color w:val="000000"/>
          <w:sz w:val="20"/>
        </w:rPr>
        <w:t>In any event, the depositary will not exercise any discretion in voting deposited securities and it will only vote or attempt to vote as instructed or as described in the following sentence. If (i) we asked the depositary to solicit the ADS holders’ instructions at least 30 days before the meeting date, (ii) the depositary does not receive voting instructions from the ADS holders by the specified date with respect to a question to be voted upon and (iii) we confirm to the depositary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wish to receive a proxy to vote uninstructed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reasonably do not know of any substantial shareholder opposition to a particular question;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particular question is not materially adverse to the interests of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depositary will consider the ADS holders to have authorized and directed it to give, and it will give, a discretionary proxy to a person designated by us to vote the number of deposited securities represented by each ADS holder’s ADSs as to that question.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make any assurances that ADS holder will receive the voting materials in time to ensure that they can instruct the depositary to vote the shares represented by their ADSs.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the depositary and its agents are not responsible for failing to carry out voting instructions or for the manner of carrying out voting instructions. </w:t>
      </w:r>
      <w:r>
        <w:rPr>
          <w:rFonts w:ascii="Times New Roman" w:hAnsi="Times New Roman"/>
          <w:i/>
          <w:color w:val="000000"/>
          <w:sz w:val="20"/>
        </w:rPr>
        <w:t>This means that ADS holders may not be able to exercise voting</w:t>
      </w:r>
      <w:r>
        <w:rPr>
          <w:rFonts w:ascii="Times New Roman" w:hAnsi="Times New Roman"/>
          <w:color w:val="000000"/>
          <w:sz w:val="20"/>
        </w:rPr>
        <w:t xml:space="preserve"> </w:t>
      </w:r>
      <w:r>
        <w:rPr>
          <w:rFonts w:ascii="Times New Roman" w:hAnsi="Times New Roman"/>
          <w:i/>
          <w:color w:val="000000"/>
          <w:sz w:val="20"/>
        </w:rPr>
        <w:t>rights and there may be nothing they can do if the shares represented by their ADSs are not voted as they requested.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give ADS holder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Fees and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4"/>
        <w:gridCol w:w="146"/>
        <w:gridCol w:w="4645"/>
      </w:tblGrid>
      <w:tr>
        <w:trPr/>
        <w:tc>
          <w:tcPr>
            <w:tcW w:w="5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5" w:type="dxa"/>
            <w:tcBorders/>
            <w:vAlign w:val="center"/>
          </w:tcPr>
          <w:p>
            <w:pPr>
              <w:pStyle w:val="TableContents"/>
              <w:bidi w:val="0"/>
              <w:spacing w:before="0" w:after="283"/>
              <w:jc w:val="left"/>
              <w:rPr>
                <w:sz w:val="4"/>
                <w:szCs w:val="4"/>
              </w:rPr>
            </w:pPr>
            <w:r>
              <w:rPr>
                <w:sz w:val="4"/>
                <w:szCs w:val="4"/>
              </w:rPr>
            </w:r>
          </w:p>
        </w:tc>
      </w:tr>
      <w:tr>
        <w:trPr/>
        <w:tc>
          <w:tcPr>
            <w:tcW w:w="541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Persons depositing or withdrawing shares or ADS holders must pay:</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464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r>
      <w:tr>
        <w:trPr/>
        <w:tc>
          <w:tcPr>
            <w:tcW w:w="54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US$5.00 (or less) per 100 ADSs (or portion of 100 ADSs)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6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Issuance of the ADSs, including issuances resulting from a distribution of shares or rights or other property</w:t>
            </w:r>
          </w:p>
        </w:tc>
      </w:tr>
      <w:tr>
        <w:trPr/>
        <w:tc>
          <w:tcPr>
            <w:tcW w:w="5414"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6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Cancelation of the ADSs for the purpose of withdrawal, including if the deposit agreement terminates</w:t>
            </w:r>
          </w:p>
        </w:tc>
      </w:tr>
      <w:tr>
        <w:trPr/>
        <w:tc>
          <w:tcPr>
            <w:tcW w:w="54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US$0.05 (or less) per ADS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6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Any cash distribution to ADS holders</w:t>
            </w:r>
          </w:p>
        </w:tc>
      </w:tr>
      <w:tr>
        <w:trPr/>
        <w:tc>
          <w:tcPr>
            <w:tcW w:w="54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 fee equivalent to the fee that would be payable if securities distributed to the ADS holder had been shares and the shares had been deposited for issuance of ADSs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6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Distribution of securities distributed to holders of deposited securities (including rights) that are distributed by the depositary to ADS holders</w:t>
            </w:r>
          </w:p>
        </w:tc>
      </w:tr>
      <w:tr>
        <w:trPr/>
        <w:tc>
          <w:tcPr>
            <w:tcW w:w="54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US$0.05 (or less) per ADS per calendar year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6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Depositary services</w:t>
            </w:r>
          </w:p>
        </w:tc>
      </w:tr>
      <w:tr>
        <w:trPr/>
        <w:tc>
          <w:tcPr>
            <w:tcW w:w="54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Registration or transfer fees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6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Transfer and registration of shares on our share register to or from the name of the depositary or its agent when the ADS holder deposits or withdraws shares</w:t>
            </w:r>
          </w:p>
        </w:tc>
      </w:tr>
      <w:tr>
        <w:trPr/>
        <w:tc>
          <w:tcPr>
            <w:tcW w:w="54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Expenses of the depositary</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6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Cable (including SWIFT) and facsimile transmissions (when expressly provided in the deposit agreement)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Converting foreign currency to U.S. dollars</w:t>
            </w:r>
          </w:p>
        </w:tc>
      </w:tr>
      <w:tr>
        <w:trPr/>
        <w:tc>
          <w:tcPr>
            <w:tcW w:w="54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Taxes and other governmental charges the depositary or the custodian has to pay on any ADSs or shares underlying the ADSs, such as stock transfer taxes, stamp duty or withholding taxes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6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As necessary</w:t>
            </w:r>
          </w:p>
        </w:tc>
      </w:tr>
      <w:tr>
        <w:trPr/>
        <w:tc>
          <w:tcPr>
            <w:tcW w:w="54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Any charges incurred by the depositary or its agents for servicing the deposited securities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6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As necessary</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Payment of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ADS holders are responsible for any taxes or other governmental charges payable on their ADSs or on the deposited securities represented by any of their ADSs. The depositary may refuse to register any transfer of an ADS holder’s ADSs or allow them to withdraw the deposited securities represented by their ADSs until those taxes or other charges are paid. It may apply payments owed to the ADS holder or sell deposited securities represented by the ADS holder’s ADSs to pay any taxes owed and the ADS holder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Tender and Exchange Offers; Redemption, Replacement or Cancellation of Deposited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will not tender deposited securities in any voluntary tender or exchange offer unless instructed to do so by an ADS holder surrendering ADSs and subject to any conditions or procedures the depositary may establish.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is a replacement of the deposited securities and the depositary will continue to hold the replacement securities, the depositary may distribute new ADSs representing the new deposited securities or ask the ADS holder to surrender their outstanding ADSs in exchange for new ADSs identifying the new deposited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Amendment and Termination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How may the deposit agreement be amended?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may agree with the depositary to amend the deposit agreement and the ADRs without the ADS holders’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 w:hAnsi="Times New Roman"/>
          <w:i/>
          <w:color w:val="000000"/>
          <w:sz w:val="20"/>
        </w:rPr>
        <w:t>At the time an amendment becomes effective, ADS holders are considered, by continuing to hold their ADSs, to agree to the amendment and to be bound by the ADRs and the deposit agreement as amended.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How may the deposit agreement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will initiate termination of the deposit agreement if we instruct it to do so. The depositary may initiate termination of the deposit agreement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60 days have passed since the depositary told us it wants to resign but a successor depositary has not been appointed and accepted its appointment;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delist the ADSs from an exchange in the United States on which they were listed and do not list ADSs on another exchange in the United States or make arrangements for trading of the ADSs on the U.S. over-the-counter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applicable, we delist our shares from an exchange outside the United States on which they were listed and do not list the shares on another exchange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has reason to believe the ADSs have become, or will become, ineligible for registration on Form F-6 under the Securities Act of 1933;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appear to be insolvent or enter insolvency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or substantially all the value of the deposited securities has been distributed either in cash or in the form of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deposited securities underlying the ADSs or the underlying deposited securities have become apparently worthless;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a replacement of deposited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deposit agreement terminates,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ADS holders (until they surrender their ADSs) or give any notices or perform any other duties under the deposit agreement except as described in this paragraph.</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Obligations and Liability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Limits on Our Obligations and the Obligations of the Depositary; Limits on Liability to Holders of ADSs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 agreement expressly limits our obligations and the obligations of the depositary. It also limits our liability and the liability of the depositary. We and the depositary: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only obligated to take the actions specifically set forth in the deposit agreement without negligence or bad faith, and the depositary will not be a fiduciary or have any fiduciary duty to holders of ADSs;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liable if we are or it is prevented or delayed by law or by events or circumstances beyond our or its ability to prevent or counteract with reasonable care or effort from performing our or its obligations under the deposit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liable if we or it exercises discretion permitted under the deposit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no obligation to become involved in a lawsuit or other proceeding related to the ADSs or the deposit agreement on the ADS holder’s behalf or on behalf of any other person;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rely upon any documents we believe or it believes in good faith to be genuine and to have been signed or presented by the proper person;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liable for the acts or omissions of any securities depository, clearing agency or settlement system;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deposit agreement, we and the depositary agree to indemnify each other under certain circumstances.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Requirements for Depositary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the depositary will deliver or register a transfer of ADSs, make a distribution on ADSs, or permit withdrawal of shares, the depositary may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stock transfer or other taxes or other governmental charges and transfer or registration fees charged by third parties for the transfer of any shares or other deposited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proof of the identity and genuineness of any signature or other information it deems necessary;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regulations it may establish, from time to time, consistent with the deposit agreement, including presentation of transfer documents.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depositary may refuse to deliver ADSs or register transfers of ADSs when the transfer books of the depositary or our transfer books are closed or at any time if the depositary or we think it advisable to do so.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Right to Receive the Shares Underlying ADSs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ADS holders have the right to cancel their ADSs and withdraw the underlying Class A Ordinary Shares at any time except: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temporary delays arise because: (i) the depositary has closed its transfer books or we have closed our transfer books; (ii) the transfer of shares is blocked to permit voting at a shareholders’ meeting; or (iii) we are paying a dividend on our Class A Ordinary Shares;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the ADS holder owes money to pay fees, taxes and similar charges;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it is necessary to prohibit withdrawals in order to comply with any laws or governmental regulations that apply to ADSs or to the withdrawal of Class A Ordinary Shares or other deposited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right of withdrawal may not be limited by any other provision of the deposit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 Registration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deposit agreement, all parties to the deposit agreement acknowledge that the Direct Registration System (the “DRS”) and Profile Modification System (“Profile”) will apply to ADSs. DRS is a system administered by DTC that facilitates interchange between registered holding of uncertificated ADSs and holding of security entitlements in the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Shareholder Communications; Inspection of Register of Holders of ADSs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will make available for the ADS holders’ inspection at its office all communications that it receives from us as a holder of deposited securities that we make generally available to holders of deposited securities. The depositary will send the ADS holders copies of those communications or otherwise make those communications available to the ADS holders if we ask it to. ADS holders have a right to inspect the register of holders of ADSs, but not for the purpose of contacting those holders about a matter unrelated to our business or the ADSs.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Jury Trial Waiver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if the ADS holder subsequently withdraws the underlying Class A Ordinary Shares. If we or the depositary opposed a jury trial demand based on the waiver, the court would determine whether the waiver was enforceable in the facts and circumstances of that case in accordance with applicable case law. ADS holders will not, by agreeing to the terms of the deposit agreement, be deemed to have waived our or the depositary’s compliance with U.S. federal securities laws or the rules and regulations promulgated thereunder.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Arbitration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deposit agreement governing the ADSs representing our Class A Ordinary Shares, any controversy, claim or cause of action brought by any party against us arising out of or relating to the Class A Ordinary Shares, the ADSs, the ADRs,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 The place of the arbitration shall be The City of New York, State of New York, United States of America. This provision applies to claims under the U.S. federal security laws. However, a claimant could also elect not to submit its claim to arbitration and instead bring its claim in any court having jurisdiction of it. The deposit agreement does not give us the right to require anyone to submit any claim to arbitration.</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3" w:name="description_of_warrants"/>
      <w:bookmarkEnd w:id="23"/>
      <w:r>
        <w:rPr>
          <w:rFonts w:ascii="Times New Roman" w:hAnsi="Times New Roman"/>
          <w:b/>
          <w:color w:val="000000"/>
          <w:sz w:val="20"/>
        </w:rPr>
        <w:t>DESCRIPTION OF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summary and any description of warrants in the applicable prospectus supplement or other offering material is subject to and is qualified in its entirety by reference to all the provisions of any specific warrant document or agreement, which we will file with the SEC for incorporation by reference into this prospectus. See “Where You Can Find More Information” and “Incorporation by Reference” for information on how to obtain a copy of a document when it is filed.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at our option, elect to issue warrants to purchase Class A Ordinary Shares, ADSs or any combination of these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description is a summary of selected provisions relating to the warrants that we may issue. The summary is not complete. When warrants are offered in the future, a prospectus supplement, or other offering material as applicable, will explain the particular terms of those securities and the extent to which these general provisions may apply. The specific terms of the warrants as described in a prospectus supplement will supplement and, if applicable, may modify or replace the general terms described in this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refer to a series of warrants, we mean all warrants issued as part of the same series under the applicable warrant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prospectus supplement relating to any warrants that we may offer will contain the specific terms of the warrants. These terms may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title of the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or prices at which the warrants will be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currency or currencies that investors may use to pay for the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the right to exercise the warrants will commence and the date on which the right will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warrants will be issued in registered form or bearer 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with respect to book-entry procedures,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applicable, the minimum or maximum amount of warrants that may be exercised at any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applicable, the designation and term of the underlying securities with which the warrants are issued and the number of warrants issued with each underlying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any merger, consolidation, sale or other disposition of our business on the warrant agreement and the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applicable, the date on and after which the warrants and the related underlying securities will be separately transferable;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applicable, a discussion of material U.S. federal income tax consequences of holding or exercising the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applicable, the terms of redemption of the warrants;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identity of the warrant agent,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manner in which the warrant agreement and warrants may be modified;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rights to redeem or call the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procedures and conditions relating to the exercise of the warrants;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terms of the warrants, including terms, procedures and limitations relating to the exchange and exercise of the warrants.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Warrant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warrant agent under a warrant agreement will act solely as our agent in connection with the warrants issued under that agreement. The warrant agent will not assume any obligation or relationship of agency or trust for or with any holders of those warrants. Any holder of warrants may, without the consent of any other person, enforce by appropriate legal action, on its own behalf, its right to exercise those warrants in accordance with their terms. Until the warrant is properly exercised, no holder of any warrant will be entitled to any rights of a holder of the warrant property purchasable upon exercise of the warrant.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Form, Exchange, and Transfer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issue the warrants in registered form or bearer form. Warrants issued in registered form (i.e., book-entry form) will be represented by a global security registered in the name of a depositary, which will be the holder of all the warrants represented by the global security. Those investors who own beneficial interests in a global warrant will do so through participants in the depositary’s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or other offering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exercise of their warrants, holders of warrants exercisable for Class A Ordinary Shares will not have any rights of holders of the Class A Ordinary Shares purchasable upon such exercise and will not be entitled to dividend payments, if any, or voting rights of the Class A Ordinary Shares purchasable upon such exercise.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Exercise of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warrant will entitle the holder to purchase for cash an amount of securities at an exercise price that will be stated in, or that will be determinable as described in, the applicable prospectus supplement or other offering material. Warrants may be exercised at any time up to the close of business on the expiration date set forth in the applicable prospectus supplement or other offering material. After the close of business on the expiration date, unexercised warrants will become void.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Warrants may be exercised as set forth in the applicable prospectus supplement or other offering material. Upon receipt of payment and the warrant certificate properly completed and duly executed at the corporate trust office of the warrant agent or any other office indicated in the prospectus supplement or other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4" w:name="description_of_units"/>
      <w:bookmarkEnd w:id="24"/>
      <w:r>
        <w:rPr>
          <w:rFonts w:ascii="Times New Roman" w:hAnsi="Times New Roman"/>
          <w:b/>
          <w:color w:val="000000"/>
          <w:sz w:val="20"/>
        </w:rPr>
        <w:t>DESCRIPTION OF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summary and any description of units in the applicable prospectus supplement or other offering material is subject to and is qualified in its entirety by reference to the unit agreement and, if applicable, collateral arrangements and depositary arrangements relating to such units. We will file these documents with the SEC for incorporation by reference into this prospectus. See “Where You Can Find More Information” and “Incorporation by Reference” for information on how to obtain a copy of a document when it is filed.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at our option, elect to issue units composed of any combination of our Class A Ordinary Shares, ADSs, and warrants.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description is a summary of selected provisions relating to units that we may offer. The summary is not complete. When units are offered in the future, a prospectus supplement, or other offering material, as applicable, will explain the particular terms of those securities and the extent to which these general provisions may apply. The specific terms of the units as described in a prospectus supplement will supplement and, if applicable, may modify or replace the general terms described in this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applicable prospectus supplement or other offering material may describe: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designation and terms of the units and of the securities comprising the units, including whether and under what circumstances those securities may be held or transferred separately;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provisions for the issuance, payment, settlement, transfer, or exchange of the units or of the securities composing the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unit agreement governing the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applicable, the material U.S. federal income tax consequences of holding the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units will be issued in fully registered or global form;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terms of the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applicable provisions described in this section, as well as those described under “Description of Share Capital,” "Description of American Depositary Shares” and “Description of Warrants,” will apply to each unit and to each security included in each unit, respectively.</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description_of_rights"/>
      <w:bookmarkEnd w:id="25"/>
      <w:r>
        <w:rPr>
          <w:rFonts w:ascii="Times New Roman" w:hAnsi="Times New Roman"/>
          <w:b/>
          <w:color w:val="000000"/>
          <w:sz w:val="20"/>
        </w:rPr>
        <w:t>DESCRIPTION OF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summary and any description of rights in the applicable prospectus supplement or other offering material is subject to and is qualified in its entirety by reference to the rights agreement and, if applicable, underwriting or other arrangements relating to such rights. We will file these documents with the SEC for incorporation by reference into this prospectus. See “Where You Can Find More Information” and “Incorporation by Reference” for information on how to obtain a copy of a document when it is filed.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at our option, elect to issue rights to purchase our Class A Ordinary Shares or other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after such rights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series of rights will be issued under a separate rights agreement to be entered into, from time to time, between us and a bank or trust company, as rights agent, all as set forth in a prospectus supplement relating to the particular issue of rights. The rights agent will act solely as an agent of ours in connection with the certificates relating to the rights and will not assume any obligation or relationship of agency or trust for or with any holders of rights certificates or beneficial owners of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description is a summary of selected provisions relating to rights that we may offer. The summary is not complete. When rights are offered in the future, a prospectus supplement, or other offering material as applicable, will explain the particular terms of those securities and the extent to which these general provisions may apply. The specific terms of the rights as described in a prospectus supplement will supplement and, if applicable, may modify or replace the general terms described in this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applicable prospectus supplement will describe the terms of the rights to be issued, including the following where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for determining the security holders entitled to the rights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number of rights and the aggregate of amount of Class A Ordinary Shares or other securities purchasable upon exercise of the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and any adjustments to such exercise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number of rights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if any, on and after which the rights may be transferable separately;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the right to exercise the rights shall commence and the date on which the right shall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material U.S. federal income tax consequences;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terms of the rights, including terms, procedures and limitations relating to the distribution, exchange and exercise of the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less than all of the rights issued in any rights offering are exercised, we may offer any unsubscribed securities directly to persons other than our security holders, to or through agents, underwriters or dealer or through a combination of such methods, including pursuant to standby arrangements, as described in the applicable prospectus supplement.</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26" w:name="description_of_debt_securities"/>
      <w:bookmarkEnd w:id="26"/>
      <w:r>
        <w:rPr>
          <w:rFonts w:ascii="Times New Roman" w:hAnsi="Times New Roman"/>
          <w:b/>
          <w:color w:val="000000"/>
          <w:sz w:val="20"/>
        </w:rPr>
        <w:t>DESCRIPTION OF DEBT</w:t>
      </w:r>
      <w:r>
        <w:rPr>
          <w:rFonts w:ascii="Times New Roman" w:hAnsi="Times New Roman"/>
          <w:color w:val="000000"/>
          <w:sz w:val="20"/>
        </w:rPr>
        <w:t xml:space="preserve"> </w:t>
      </w:r>
      <w:r>
        <w:rPr>
          <w:rFonts w:ascii="Times New Roman" w:hAnsi="Times New Roman"/>
          <w:b/>
          <w:color w:val="000000"/>
          <w:sz w:val="20"/>
        </w:rPr>
        <w:t>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summary and any description of our debt securities in the applicable prospectus supplement or other offering material is subject to and is qualified in its entirety by reference to the applicable indenture (each, an “Indenture”) between XCHG Limited and an appropriately qualified financial institution authorized to carry on business as a trustee (each, a “Trustee”). We will file these documents with the SEC for incorporation by reference into this prospectus. See “Where You Can Find More Information” and “Incorporation by Reference” for information on how to obtain a copy of a document when it is filed.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description is a summary of selected provisions relating to the debt securities that we may issue. The summary is not complete. When debt securities are offered in the future, a prospectus supplement, or other offering material as applicable, will explain the particular terms of those securities and the extent to which these general provisions may apply. The specific terms of the debt securities as described in a prospectus supplement will supplement and, if applicable, may modify or replace the general terms described in this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debt securities may be issued from time to time in one or more series. We may specify a maximum aggregate principal amount for the debt securities of any series and, unless otherwise provided in the applicable Indenture, a series of debt securities may be reopened for issuance of additional debt securities of that series.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debt securities will be direct secured or unsecured obligations of XCHG Limited, and will constitute senior or subordinated indebtedness of XCHG Limited as described in the applicable prospectus supplement. If the debt securities are unsecured senior indebtedness, they will rank equally and ratably with all other unsecured indebtedness of XCHG Limited from time to time issued and outstanding which is not subordinated. If the debt securities are subordinated indebtedness, they will be subordinated to senior indebtedness of XCHG Limited as described in the applicable prospectus supplement and their ranking with respect to other subordinated indebtedness of XCHG Limited from time to time outstanding will be as described in the applicable prospectus supplement. We reserve the right to specify in a prospectus supplement whether a particular series of subordinated debt securities is subordinated to any other series of subordinated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particular terms and provisions of each issue of debt securities will be described in the applicable prospectus supplement. This description will include, as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designation, aggregate principal amount and authorized denominations of the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limit upon the aggregate principal amount of the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currency for which the debt securities may be purchased and in which the principal and any premium or interest is payable;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offering price of the debt securities and percentage of the principal amount at which they will be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date(s) on which the debt securities will be issued and delivered;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date(s) on which the debt securities will mature, including any provision for the extension of a maturity date, or the method of determining such 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rate(s) per annum (either fixed or floating) at which the debt securities will bear interest (if any) and, if floating, the method of determining such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date(s) from which any interest obligation will accrue and on which interest will be payable, and the record date(s) for the payment of interest or the method of determining such 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security or guarantees given in respect of the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ranking of the debt securities and if applicable, their subordination to other indebtedness of XCHG Limited;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identity of the Trustee under the applicable Indenture pursuant to which the debt securities are to be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redemption terms, or terms under which the debt securities may be defeased prior to maturity;</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repayment or sinking fund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events of default and covenants in respect of the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debt securities are to be issued in registered form or in the form of temporary or permanent global securities, and the basis of exchange, transfer and ownership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debt securities may be converted or exchanged for other securities of XCHG Limited or any other entity;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applicable, our ability to satisfy all or a portion of any redemption of the debt securities, payment of any premium or interest thereon, or repayment of the principal owing upon the maturity through the issuance of securities of XCHG Limited or of any other entity, and any restrictions on the persons to whom such securities may be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governing amendments to the Indenture;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material terms, conditions or other provisions applicable to the debt securities, including, without limitation, transferability, adjustment terms and whether the subscription receipts will be listed on an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reserve the right to include in a prospectus supplement specific terms and provisions pertaining to the debt securities in respect of which the prospectus supplement is filed that are not within the variables and parameters set forth in this prospectus. To the extent that any terms or provisions or other information pertaining to the debt securities described in a prospectus supplement differ from any of the terms or provisions or other information described in this prospectus, the description set forth in this prospectus shall be deemed to have been superseded by the description set forth in the prospectus supplement with respect to those debt securities.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7" w:name="plan_of_distribution_"/>
      <w:bookmarkEnd w:id="27"/>
      <w:r>
        <w:rPr>
          <w:rFonts w:ascii="Times New Roman" w:hAnsi="Times New Roman"/>
          <w:b/>
          <w:color w:val="000000"/>
          <w:sz w:val="20"/>
        </w:rPr>
        <w:t>PLAN OF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set forth in a prospectus supplement accompanying this prospectus, we may sell the Securities being offered under this prospectus through underwriters or dealers, through agents, directly to one or more purchasers, or through a combination of any of the foregoing methods of sale. For each offering of securities hereunder, the accompanying prospectus supplement or supplements (and any related free writing prospectus that we may authorize to be provided to you) will describe the terms of such offering,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name or names of any underwriters, dealers or 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price of the securities being offered or other consideration therefor, and the proceeds, if any, we will receive from the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delayed delivery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over-allotment or other options pursuant to which underwriters may purchase additional securities from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agency fees or underwriting discounts and other items constituting agents’ or underwriters’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public offering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discounts, concessions or commissions allowed or reallowed or paid to dealers;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securities exchange or market on which the securities may be listed.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underwriters named in the prospectus supplement will be underwriters of the Securities offered by the prospectus supplement. If underwriters are used in the sale, they will acquire the Securities for their own account and may resell the Securities from time to time in one or more transactions at a fixed public offering price or at varying prices determined at the time of the sale, at market prices prevailing at the time of sale, at prices related to such prevailing market prices or at negotiated prices. Unless we state otherwise in the applicable prospectus supplement, the obligations of the underwriters to purchase the Securities will be subject to certain conditions precedent. We may offer the Securities to the public through underwriting syndicates represented by managing underwriters or by underwriters without a syndicate. Subject to certain conditions, the underwriters will be obligated to purchase all the Securities offered by the prospectus supplement. We may change from time to time the public offering price and any discounts or concessions allowed or reallowed or paid to dealers. We may use underwriters with whom we have a material relationship. We will describe such relationships in the prospectus supplement naming the underwriter and the nature of any such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Securities offered pursuant to this prospectus, may also be sold in one or more of the following transactions: (i) block transactions (which may involve crosses) in which a broker-dealer may sell all or a portion of such shares as agent, but may position and resell all or a portion of the block as principal to facilitate the transaction; (ii) purchases by any such broker-dealer as principal, and resale by such broker-dealer for its own account pursuant to a prospectus supplement; (iii) a special offering, an exchange distribution or a secondary distribution in accordance with applicable Nasdaq or other stock exchange, quotation system or over-the-counter market rules; (iv) ordinary brokerage transactions and transactions in which any such broker-dealer solicits purchasers; (v) sales through “at the market offerings” within the meaning of Rule 415(a)(4) of the Securities Act to or through a market maker or into an existing trading market, on an exchange or otherwise, for such shares; and (vi) sales in other ways not involving market makers or established trading markets, including direct sales to purchasers.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sell Securities directly or through agents we designate from time to time. We will name any agent involved in the offering and sale of the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us or others to settle those sales or to close out any related open borrowings of Class A Ordinary Shares, and may use securities received from us in settlement of those derivatives to close out any related open borrowings of Class A Ordinary Shares. The third party in such sale transactions will be an underwriter and, if not identified in this prospectus, will be identified in the applicable prospectus supplement or a post-effective amendment to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ADSs are listed on Nasdaq under the symbol “XCH.” Any Securities we may offer, other than ADSs, will be new issues of securities with no established trading market and may or may not be listed on a national securities exchange, quotation system or over-the-counter market. Any underwriters or agents to or through which Securities are sold by us may make a market in these Securities, but will not be obligated to do so and may discontinue any market making at any time without notice. We cannot guarantee the liquidity of the trading markets for any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provide agents and underwriters with indemnification against certain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and our affiliates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Rules of the SEC may limit the ability of any underwriters to bid for or purchase securities before the distribution of the Securities is completed. However, underwriters may engage in over-allotment, stabilizing transactions, short-covering transactions and penalty bids in accordance with Rule 104 of Regulation M promulgated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Any of the transactions described in this paragraph or comparable transactions that may be described in any accompanying prospectus supplement may result in the maintenance of the price of the securities at a level above that which might otherwise prevail in the open market. None of such transactions described in this paragraph or in any accompanying prospectus supplement are required to be taken by any underwriters and, if they are undertaken, may be discontinued at any time.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Set forth below is an itemization of the total expenses, excluding underwriter commissions, that we expect to incur in connection with this offering. With the exception of the SEC registration fee, all amounts are estimates. The company will pay all of the expenses of this offering.</w:t>
      </w:r>
    </w:p>
    <w:p>
      <w:pPr>
        <w:pStyle w:val="TextBody"/>
        <w:bidi w:val="0"/>
        <w:jc w:val="left"/>
        <w:rPr/>
      </w:pPr>
      <w:r>
        <w:rPr/>
        <w:t> </w:t>
      </w:r>
    </w:p>
    <w:tbl>
      <w:tblPr>
        <w:tblW w:w="4117" w:type="dxa"/>
        <w:jc w:val="left"/>
        <w:tblInd w:w="0" w:type="dxa"/>
        <w:tblLayout w:type="fixed"/>
        <w:tblCellMar>
          <w:top w:w="28" w:type="dxa"/>
          <w:left w:w="28" w:type="dxa"/>
          <w:bottom w:w="28" w:type="dxa"/>
          <w:right w:w="28" w:type="dxa"/>
        </w:tblCellMar>
      </w:tblPr>
      <w:tblGrid>
        <w:gridCol w:w="2776"/>
        <w:gridCol w:w="109"/>
        <w:gridCol w:w="511"/>
        <w:gridCol w:w="721"/>
      </w:tblGrid>
      <w:tr>
        <w:trPr/>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 registration fee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US$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34,525</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FINRA filing fee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US$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Printing and engraving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US$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 and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US$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fees and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US$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costs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US$</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b/>
                <w:color w:val="000000"/>
                <w:sz w:val="20"/>
              </w:rPr>
              <w:t>US$</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Estimated fees and expenses are not presently known. If required, to be provided by a prospectus supplement or as an exhibit to a Report of Foreign Private Issuer on Form 6-K that is incorporated by reference into this prospectus.</w:t>
      </w:r>
    </w:p>
    <w:p>
      <w:pPr>
        <w:pStyle w:val="TextBody"/>
        <w:bidi w:val="0"/>
        <w:spacing w:before="240" w:after="283"/>
        <w:jc w:val="center"/>
        <w:rPr>
          <w:rFonts w:ascii="Times New Roman" w:hAnsi="Times New Roman"/>
          <w:b/>
          <w:color w:val="000000"/>
          <w:sz w:val="20"/>
        </w:rPr>
      </w:pPr>
      <w:bookmarkStart w:id="28" w:name="legal_matters_"/>
      <w:bookmarkEnd w:id="28"/>
      <w:r>
        <w:rPr>
          <w:rFonts w:ascii="Times New Roman" w:hAnsi="Times New Roman"/>
          <w:b/>
          <w:color w:val="000000"/>
          <w:sz w:val="20"/>
        </w:rPr>
        <w:t>LEGAL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being represented by Morrison &amp; Foerster LLP with respect to certain legal matters of U.S. federal securities and New York state law. The validity of the Securities sold hereunder and certain legal matters as to Cayman Islands law will be passed upon for us by Maples and Calder (Hong Kong) LLP. Morrison &amp; Foerster LLP may rely upon Maples and Calder (Hong Kong) LLP with respect to matters governed by Cayman Islands law.</w:t>
      </w:r>
    </w:p>
    <w:p>
      <w:pPr>
        <w:pStyle w:val="TextBody"/>
        <w:bidi w:val="0"/>
        <w:spacing w:before="240" w:after="283"/>
        <w:jc w:val="center"/>
        <w:rPr>
          <w:rFonts w:ascii="Times New Roman" w:hAnsi="Times New Roman"/>
          <w:b/>
          <w:color w:val="000000"/>
          <w:sz w:val="20"/>
        </w:rPr>
      </w:pPr>
      <w:bookmarkStart w:id="29" w:name="experts_"/>
      <w:bookmarkEnd w:id="29"/>
      <w:r>
        <w:rPr>
          <w:rFonts w:ascii="Times New Roman" w:hAnsi="Times New Roman"/>
          <w:b/>
          <w:color w:val="000000"/>
          <w:sz w:val="20"/>
        </w:rPr>
        <w:t>EXPERTS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as of and for the years ended December 31, 2025 and 2024 are incorporated in this prospectus by reference to our Annual Report on Form 20-F for the year ended December 31, 2025 and have been so incorporated in reliance on the report of Marcum Asia CPAs LLP, an independent registered public accounting firm, given on the authority of said firm as experts in auditing and accounting. The registered business address of Marcum Asia CPAs LLP is 7 Penn Plaza, Suite 830, New York, NY 10001.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consolidated financial statements of XCHG Limited as of December 31, 2023 and for the years ended December 31, 2022 and 2023, have been incorporated by reference herein in reliance upon the report of KPMG Huazhen LLP, independent registered public accounting firm, incorporated by reference herein, and upon the authority of said firm as experts in accounting and auditing.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report covering the December 31, 2023 consolidated financial statements contains an explanatory paragraph that states that the redeemable preferred shareholders have rights to request the company to redeem all of the redeemable preference shares if the company has not consummated a qualified initial public offering or qualified share sale by September 30, 2024, that raise substantial doubt about its ability to continue as a going concern. The consolidated financial statements do not include any adjustments that might result from the outcome of that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office of KPMG Huazhen LLP is located at 8th Floor, KPMG Tower, Oriental Plaza, No.1 East Chang An Avenue, Beijing, the People’s Republic of China.</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30" w:name="enforceability_of_civil_liabilities"/>
      <w:bookmarkEnd w:id="30"/>
      <w:r>
        <w:rPr>
          <w:rFonts w:ascii="Times New Roman" w:hAnsi="Times New Roman"/>
          <w:b/>
          <w:color w:val="000000"/>
          <w:sz w:val="20"/>
        </w:rPr>
        <w:t>ENFORCEABILITY OF CIVIL LIABILITIES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Cayman Islands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in the Cayman Islands in order to enjoy the following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and economic 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effective judicial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favorable tax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absence of exchange control or currency restrictions;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professional and support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certain disadvantages accompany incorporation in the Cayman Islands. These disadvantages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Cayman Islands has a less developed body of securities laws as compared to the United States and these securities laws provide significantly less protection to investors;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Cayman Islands companies may not have standing to sue before the federal courts of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memorandum and articles of association do not contain provisions requiring that disputes, including those arising under the securities laws of the United States, between us, our officers, directors and shareholders, be arbitrated.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Most of our current operations are conducted through our subsidiaries in local jurisdictions, including Europe, the United States and China, and substantially all of our assets are located outside the United States. In addition, most of our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appointed XCharge Energy USA Inc. as our agent upon whom process may be served in any action brought against us under the securities laws of the United States. The address of our agent is 19121 Marketplace Avenue, Building 2-Suite 2-145, Kyle, TX 78640. Maples and Calder (Hong Kong) LLP, our counsel as to Cayman Islands law, GÖRG Partnerschaft von Rechtsanwälten mbB , our counsel as to German law, and Fangda Partners, our counsel as to PRC law, have advised us, respectively, that there is uncertainty as to whether the courts of the Cayman Islands, Germany and China, respectively, would: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recognize or enforce judgments of United States courts obtained against us or our directors or officers predicated upon the civil liability provisions of the securities laws of the United States or any state in the United States;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entertain original actions brought in each respective jurisdiction against us or our directors or officers predicated upon the securities laws of the United States or any state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Maples and Calder (Hong Kong) LLP has informed us that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Maples and Calder (Hong Kong) LLP has informed us that although there is no statutory enforcement in the Cayman Islands of judgments obtained in the federal or state courts of the United States (and the Cayman Islands is not a party to any treaties for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Germany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GÖRG Partnerschaft von Rechtsanwälten mbB, our counsel as to German law, has advised us that there is uncertainty as to whether courts in Germany will enforce judgments obtained in other jurisdictions, including the United States and PRC, against us or our directors and officers under the securities laws of those jurisdictions or entertain actions in Germany against our directors and officers under the securities laws of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awards of punitive damages, awards for damages for moral injury or non-financial harm, or other cases of excessive damages in actions brought in the United States or elsewhere may not be enforceable in Germany. Neither the United States and Germany nor the PRC and Germany currently have a treaty providing for reciprocal recognition and enforcement of judgments (other than arbitral awards) in civil and commercial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29, 2022, the EU deposited its instrument of accession to the Convention on the Recognition and Enforcement of Foreign Judgments in Civil or Commercial Matters (HCCH 2019 Judgments Convention). Germany ratified this convention on August 29, 2022, and it has been binding for Germany since September 1, 2023. The Convention obliges states to recognize and enforce judicial decisions that are valid and enforceable in the state in which they were issued in another contracting state in accordance with the rules of the agreement. Although the United States has signed this convention, it has not yet ratified it. PRC has not acceded to this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advised by Fangda Partners, our PRC legal counsel, that there is uncertainty as to whether the courts of the PRC would enforce judgments of United States courts or Cayman Islands courts obtained against us or these persons predicated upon the civil liability provisions of the United States federal and state securities laws. Fangda Partners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Under the PRC Civil Procedures Law, foreign shareholders may originate actions based on PRC law against a company for disputes relating to contracts or other property interests in the PRC, if they can establish a sufficient nexus to the PRC for a PRC court to have jurisdiction, and meet other procedural requirements, including, among others, the plaintiff must have a direct interest in the case, and there must be a concrete claim, a factual basis and a cause for the suit.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it would be difficult for foreign shareholders to establish a sufficient nexus to the PRC for a PRC court to have jurisdiction pursuant to the PRC Civil Procedures Law by virtue only of holding the ADSs or Class A Ordinary Shares.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1" w:name="where_you_can_find_additional_informatio"/>
      <w:bookmarkEnd w:id="31"/>
      <w:r>
        <w:rPr>
          <w:rFonts w:ascii="Times New Roman" w:hAnsi="Times New Roman"/>
          <w:b/>
          <w:color w:val="000000"/>
          <w:sz w:val="20"/>
        </w:rPr>
        <w:t>WHERE YOU CAN FIND 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filed with the U.S. Securities and Exchange Commission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 w:hAnsi="Times New Roman"/>
          <w:b/>
          <w:color w:val="000000"/>
          <w:sz w:val="20"/>
        </w:rPr>
        <w:t xml:space="preserve">www.sec.gov </w:t>
      </w:r>
      <w:r>
        <w:rPr>
          <w:rFonts w:ascii="Times New Roman" w:hAnsi="Times New Roman"/>
          <w:color w:val="000000"/>
          <w:sz w:val="20"/>
        </w:rPr>
        <w:t>that contains reports, proxy and information statements and other information we have filed electronically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rely only on the information contained in this prospectus or to which this prospectus has referred you. We have not authorized any person to provide you with different information or to make any representation not contained in this prospectus.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incorporation_of_certain_documents_by"/>
      <w:bookmarkEnd w:id="32"/>
      <w:r>
        <w:rPr>
          <w:rFonts w:ascii="Times New Roman" w:hAnsi="Times New Roman"/>
          <w:b/>
          <w:color w:val="000000"/>
          <w:sz w:val="20"/>
        </w:rPr>
        <w:t>INCORPORATION OF CERTAIN DOCUMENTS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 allows us to “incorporate by reference” into this prospectus the information in documents we file with it. This means that we can disclose important information to you by referring you to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into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incorporate by reference into this prospectus documents listed below and any future filings made with the SEC under Sections 13(a), 13(c), 14 or 15(d) of the Exchange Act, and, to the extent specifically designated therein, reports of foreign private issuer on Form 6-K we furnish to the SEC on or after the date on which this registration statement is first filed with the SEC and until the termination or completion of that offering under this prospectus: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Annual Report on Form 20-F for the fiscal year ended December 31, 2024, filed with the SEC on </w:t>
      </w:r>
      <w:hyperlink r:id="rId7">
        <w:r>
          <w:rPr>
            <w:rStyle w:val="InternetLink"/>
            <w:rFonts w:ascii="Times New Roman" w:hAnsi="Times New Roman"/>
            <w:color w:val="0000FF"/>
            <w:sz w:val="20"/>
            <w:u w:val="single"/>
          </w:rPr>
          <w:t>April 23, 2025</w:t>
        </w:r>
      </w:hyperlink>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Reports of Foreign Private Issuer on Form 6-K, submitted on </w:t>
      </w:r>
      <w:hyperlink r:id="rId8">
        <w:r>
          <w:rPr>
            <w:rStyle w:val="InternetLink"/>
            <w:rFonts w:ascii="Times New Roman" w:hAnsi="Times New Roman"/>
            <w:color w:val="0000FF"/>
            <w:sz w:val="20"/>
            <w:u w:val="single"/>
          </w:rPr>
          <w:t>April 23, 2025</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August 21, 2025</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September 12, 2025</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September 23, 2025</w:t>
        </w:r>
      </w:hyperlink>
      <w:r>
        <w:rPr>
          <w:rFonts w:ascii="Times New Roman" w:hAnsi="Times New Roman"/>
          <w:color w:val="000000"/>
          <w:sz w:val="20"/>
        </w:rPr>
        <w:t xml:space="preserve">, and </w:t>
      </w:r>
      <w:hyperlink r:id="rId12">
        <w:r>
          <w:rPr>
            <w:rStyle w:val="InternetLink"/>
            <w:rFonts w:ascii="Times New Roman" w:hAnsi="Times New Roman"/>
            <w:color w:val="0000FF"/>
            <w:sz w:val="20"/>
            <w:u w:val="single"/>
          </w:rPr>
          <w:t>December 19, 2025</w:t>
        </w:r>
      </w:hyperlink>
      <w:r>
        <w:rPr>
          <w:rFonts w:ascii="Times New Roman" w:hAnsi="Times New Roman"/>
          <w:color w:val="000000"/>
          <w:sz w:val="20"/>
        </w:rPr>
        <w: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description of our ordinary shares contained under the heading “Item 1. Description of Registrant’s Securities to be Registered” in our registration statement on Form 8-A, as filed with the SEC on </w:t>
      </w:r>
      <w:hyperlink r:id="rId13">
        <w:r>
          <w:rPr>
            <w:rStyle w:val="InternetLink"/>
            <w:rFonts w:ascii="Times New Roman" w:hAnsi="Times New Roman"/>
            <w:color w:val="0000FF"/>
            <w:sz w:val="20"/>
            <w:u w:val="single"/>
          </w:rPr>
          <w:t>August 7, 2024</w:t>
        </w:r>
      </w:hyperlink>
      <w:r>
        <w:rPr>
          <w:rFonts w:ascii="Times New Roman" w:hAnsi="Times New Roman"/>
          <w:color w:val="000000"/>
          <w:sz w:val="20"/>
        </w:rPr>
        <w:t xml:space="preserve">, as updated by the description of our ordinary shares that served as </w:t>
      </w:r>
      <w:hyperlink r:id="rId14">
        <w:r>
          <w:rPr>
            <w:rStyle w:val="InternetLink"/>
            <w:rFonts w:ascii="Times New Roman" w:hAnsi="Times New Roman"/>
            <w:color w:val="0000FF"/>
            <w:sz w:val="20"/>
            <w:u w:val="single"/>
          </w:rPr>
          <w:t>Exhibit 2.4</w:t>
        </w:r>
      </w:hyperlink>
      <w:r>
        <w:rPr>
          <w:color w:val="000000"/>
        </w:rPr>
        <w:t xml:space="preserve"> </w:t>
      </w:r>
      <w:r>
        <w:rPr>
          <w:rFonts w:ascii="Times New Roman" w:hAnsi="Times New Roman"/>
          <w:color w:val="000000"/>
          <w:sz w:val="20"/>
        </w:rPr>
        <w:t xml:space="preserve">to our Annual Report on Form 20-F for the fiscal year ended December 31, 2024 filed with the SEC on </w:t>
      </w:r>
      <w:hyperlink r:id="rId15">
        <w:r>
          <w:rPr>
            <w:rStyle w:val="InternetLink"/>
            <w:rFonts w:ascii="Times New Roman" w:hAnsi="Times New Roman"/>
            <w:color w:val="0000FF"/>
            <w:sz w:val="20"/>
            <w:u w:val="single"/>
          </w:rPr>
          <w:t>April 23, 2025</w:t>
        </w:r>
      </w:hyperlink>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statement contained herein or in a document all or a portion of which is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expressly incorporated by reference, nothing in this prospectus shall be deemed to incorporate by reference information furnished to, but not filed with, the SEC. Copies of all documents incorporated by reference into this prospectus, other than exhibits to those documents unless such exhibits are specially incorporated by reference into this prospectus, will be provided at no cost to each person, including any beneficial owner, who receives a copy of this prospectus on the written or oral request of that person made to:</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XCHG Limited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 Investor Relations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Email: ir@xcharge.com</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7,000,000 American Depositary Shares</w:t>
      </w:r>
    </w:p>
    <w:p>
      <w:pPr>
        <w:pStyle w:val="TextBody"/>
        <w:bidi w:val="0"/>
        <w:jc w:val="center"/>
        <w:rPr>
          <w:rFonts w:ascii="Times New Roman" w:hAnsi="Times New Roman"/>
          <w:b/>
          <w:color w:val="000000"/>
          <w:sz w:val="20"/>
        </w:rPr>
      </w:pPr>
      <w:r>
        <w:rPr>
          <w:rFonts w:ascii="Times New Roman" w:hAnsi="Times New Roman"/>
          <w:b/>
          <w:color w:val="000000"/>
          <w:sz w:val="20"/>
        </w:rPr>
        <w:t>American Depositary Shares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1657350"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1657350" cy="2571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 SUPPLEMENT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Sole Placement Agent</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A.G.P.</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June 25, 2026</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79887/000110465924086504/tm2316418d27_8a12b.htm" TargetMode="External"/><Relationship Id="rId4" Type="http://schemas.openxmlformats.org/officeDocument/2006/relationships/hyperlink" Target="https://www.sec.gov/Archives/edgar/data/1979887/000095017025056976/ck0001979887-ex2_4.htm" TargetMode="External"/><Relationship Id="rId5" Type="http://schemas.openxmlformats.org/officeDocument/2006/relationships/hyperlink" Target="https://www.sec.gov/ix?doc=/Archives/edgar/data/0001979887/000095017025056976/ck0001979887-20241231.htm" TargetMode="External"/><Relationship Id="rId6" Type="http://schemas.openxmlformats.org/officeDocument/2006/relationships/image" Target="media/image1.jpeg"/><Relationship Id="rId7" Type="http://schemas.openxmlformats.org/officeDocument/2006/relationships/hyperlink" Target="https://www.sec.gov/ix?doc=/Archives/edgar/data/1979887/000095017025056976/ck0001979887-20241231.htm" TargetMode="External"/><Relationship Id="rId8" Type="http://schemas.openxmlformats.org/officeDocument/2006/relationships/hyperlink" Target="https://www.sec.gov/Archives/edgar/data/1979887/000095017025056979/6k0423.htm" TargetMode="External"/><Relationship Id="rId9" Type="http://schemas.openxmlformats.org/officeDocument/2006/relationships/hyperlink" Target="https://www.sec.gov/Archives/edgar/data/1979887/000095017025110548/6k0821.htm" TargetMode="External"/><Relationship Id="rId10" Type="http://schemas.openxmlformats.org/officeDocument/2006/relationships/hyperlink" Target="https://www.sec.gov/Archives/edgar/data/1979887/000095017025114318/6k0911.htm" TargetMode="External"/><Relationship Id="rId11" Type="http://schemas.openxmlformats.org/officeDocument/2006/relationships/hyperlink" Target="https://www.sec.gov/Archives/edgar/data/1979887/000119312525212182/6k1h2025.htm" TargetMode="External"/><Relationship Id="rId12" Type="http://schemas.openxmlformats.org/officeDocument/2006/relationships/hyperlink" Target="https://www.sec.gov/ix?doc=/Archives/edgar/data/0001979887/000119312525325864/ck0001979887-20250630.htm" TargetMode="External"/><Relationship Id="rId13" Type="http://schemas.openxmlformats.org/officeDocument/2006/relationships/hyperlink" Target="https://www.sec.gov/Archives/edgar/data/1979887/000110465924086504/tm2316418d27_8a12b.htm" TargetMode="External"/><Relationship Id="rId14" Type="http://schemas.openxmlformats.org/officeDocument/2006/relationships/hyperlink" Target="https://www.sec.gov/Archives/edgar/data/1979887/000095017025056976/ck0001979887-ex2_4.htm" TargetMode="External"/><Relationship Id="rId15" Type="http://schemas.openxmlformats.org/officeDocument/2006/relationships/hyperlink" Target="https://www.sec.gov/ix?doc=/Archives/edgar/data/0001979887/000095017025056976/ck0001979887-20241231.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32846</Words>
  <Characters>171899</Characters>
  <CharactersWithSpaces>203890</CharactersWithSpaces>
  <Paragraphs>1280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