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Patel Aatish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XCHARGE ENERGY USA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19121 MARKETPLACE AVE, BLDG 2-STE 2-145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78640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XCHG Ltd</w:t>
              </w:r>
            </w:hyperlink>
            <w:r>
              <w:rPr/>
              <w:t xml:space="preserve"> [ </w:t>
            </w:r>
            <w:r>
              <w:rPr>
                <w:rFonts w:ascii="Times;serif" w:hAnsi="Times;serif"/>
                <w:color w:val="0000FF"/>
                <w:sz w:val="24"/>
                <w:shd w:fill="FFFFFF" w:val="clear"/>
              </w:rPr>
              <w:t>XCH</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07/02/2026</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9"/>
        <w:gridCol w:w="902"/>
        <w:gridCol w:w="773"/>
        <w:gridCol w:w="599"/>
        <w:gridCol w:w="341"/>
        <w:gridCol w:w="1182"/>
        <w:gridCol w:w="434"/>
        <w:gridCol w:w="597"/>
        <w:gridCol w:w="1343"/>
        <w:gridCol w:w="972"/>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4,155,160</w:t>
            </w:r>
            <w:r>
              <w:rPr>
                <w:rFonts w:ascii="Times;serif" w:hAnsi="Times;serif"/>
                <w:color w:val="008000"/>
                <w:position w:val="7"/>
                <w:sz w:val="16"/>
                <w:sz w:val="20"/>
                <w:shd w:fill="FFFFFF" w:val="clear"/>
              </w:rPr>
              <w:t>(1)</w:t>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10,387,960</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91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966"/>
        <w:gridCol w:w="906"/>
        <w:gridCol w:w="801"/>
        <w:gridCol w:w="861"/>
        <w:gridCol w:w="1101"/>
        <w:gridCol w:w="801"/>
        <w:gridCol w:w="1131"/>
        <w:gridCol w:w="831"/>
        <w:gridCol w:w="846"/>
      </w:tblGrid>
      <w:tr>
        <w:trPr>
          <w:tblHeader w:val="true"/>
        </w:trPr>
        <w:tc>
          <w:tcPr>
            <w:tcW w:w="129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4,155,160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4,155,160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15,581,960</w:t>
            </w:r>
            <w:r>
              <w:rPr>
                <w:rFonts w:ascii="Times;serif" w:hAnsi="Times;serif"/>
                <w:color w:val="008000"/>
                <w:position w:val="7"/>
                <w:sz w:val="16"/>
                <w:sz w:val="20"/>
                <w:shd w:fill="FFFFFF" w:val="clear"/>
              </w:rPr>
              <w:t>(1)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vesting of Restricted Stock Units ("RSUs") on July 1, 2026. The reporting person holds additional RSUs that will vest on the following schedule, subject to the Reporting Person's continued employment with the Issuer or its group member: 5,194,000 RSUs will vest on each of September 10, 2026 and September 10, 2027; and 5,193,960 RSUs will vest on September 10, 2028. Each RSU represents the contingent right to receive, following vesting, one of the Issuer's Class A Ordinary Shares, par value US$0.00001 per share (each, a "Class A Ordinary Share"), or the equivalent value of one Class A Ordinary Share in cash. In lieu of Class A Ordinary Shares, the RSUs may be settled in an equivalent number of ADSs.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Power of Attorney given by Mr. Patel was previously filed with the U.S. Securities and Exchange Commission on March 18, 2026, as an exhibit to a statement on Form 3 filed by Mr. Patel with respect to XCHG Limited and is hereby incorporated by reference. This amendment is being filed solely to reflect that, effective September 7, 2026, the Reporting Person ceased serving as the President of the Issuer and is no longer subject to Section 16 of the Securities Exchange Act of 1934. The transaction and beneficial ownership information set forth herein is unchanged from the information previously reported in the original Form 4 filed on July 2, 2026. The Reporting Person will serve as the General Manager of XCharge Energy USA Inc., a wholly-owned subsidiary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Ran Li, attorney-in-fact for Aatish V. Patel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0066" TargetMode="External"/><Relationship Id="rId5" Type="http://schemas.openxmlformats.org/officeDocument/2006/relationships/hyperlink" Target="http://www.sec.gov/cgi-bin/browse-edgar?action=getcompany&amp;CIK=00019798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844</Words>
  <Characters>4469</Characters>
  <CharactersWithSpaces>5231</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