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Commission file number: 001-42208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XCHG Limited</w:t>
      </w:r>
    </w:p>
    <w:p>
      <w:pPr>
        <w:spacing w:after="0" w:line="5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XCharge Europe GmbH, Heselstücken 18,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22453 Hamburg, Germany</w:t>
      </w:r>
    </w:p>
    <w:p>
      <w:pPr>
        <w:spacing w:after="0" w:line="20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XCharge Energy USA Inc, 19121 Marketplace Avenue,</w:t>
      </w:r>
    </w:p>
    <w:p>
      <w:pPr>
        <w:spacing w:after="0" w:line="3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Building 2-Suite 2-145, Kyle, TX 78640, United States</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0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1573530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INFORMATION CONTAINED IN THIS FORM 6-K REPORT</w:t>
      </w:r>
    </w:p>
    <w:p>
      <w:pPr>
        <w:spacing w:after="0" w:line="22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June 25, 2026, XCHG Limited, a Cayman Islands exempted company (the “Company”) entered into a securities purchase agreement (the “Purchase Agreement”) with certain institutional investor named thereto (the “Purchaser”), pursuant to which the Company agreed to issue and sell, in a registered direct offering (the “Offering”) of an aggregate of 7,000,000 American Depositary Shares (the “ADSs”) each representing forty (40) Class A Ordinary Shares par value US$0.00001 per share (the “Class A Ordinary Shares”), at a purchase price of $0.625 per ADS (the “Securities”).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Offering initially closed on June 29, 2026. The Company received approximately $4.375 million in gross proceeds from the Offering, before deducting placement agent fees and estimated offering expenses. The Company intends to use the net proceeds from the Offering for working capital and general corporate purposes.</w:t>
      </w:r>
    </w:p>
    <w:p>
      <w:pPr>
        <w:spacing w:after="0" w:line="176" w:lineRule="exact"/>
        <w:rPr>
          <w:sz w:val="20"/>
          <w:szCs w:val="20"/>
          <w:color w:val="auto"/>
        </w:rPr>
      </w:pPr>
    </w:p>
    <w:p>
      <w:pPr>
        <w:ind w:right="1140"/>
        <w:spacing w:after="0" w:line="282"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the Company, customary conditions to closing, indemnification obligations of the Company, other obligations of the parties, and termination provisions.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Securities were offered by the Company pursuant to a registration statement on Form F-3, as amended (File No. 333-292266) (the “Registration Statement”), initially filed with the Securities and Exchange Commission (the “Commission”) on December 19, 2025 and declared effective by the Commission on January 19, 2026, the base prospectus filed as part of the Registration Statement, and the prospectus supplement dated June 25, 2026 (the “Prospectus Supplement”).</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June 25, 2026, the Company entered into a placement agency agreement (the “Placement Agency Agreement”) with A.G.P./Alliance Global Partners (“A.G.P.” or the “Placement Agent”), pursuant to which the Company engaged A.G.P. as the sole placement agent in connection with the Offering. The Placement Agent agreed to use its reasonable best efforts to arrange for the sale of the Securities. In addition, under the Placement Agency Agreement the Company agreed to pay the Placement Agent a cash fee in cash equal to 6.75% of the aggregate gross proceeds raised from the sale. The Company also agreed to reimburse the Placement Agent at closing for all reasonable travel and other out-of-pocket expenses incurred by them in connection with the Offering in an amount not to exceed $75,000, and non-accountable expenses in an amount not to exceed $15,000.</w:t>
      </w:r>
    </w:p>
    <w:p>
      <w:pPr>
        <w:spacing w:after="0" w:line="18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Placement Agency Agreement contains customary representations, warranties and agreements by the Company, customary conditions to closing, indemnification obligations of the Company and the Placement Agent, including for liabilities under the Securities Act of 1933, as amended (the “Securities Act”), other obligations of the parties and termination provisions.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the Side Letter to the Placement Agency Agreement, dated June 29, 2026, the Company and the Placement Agent have mutually agreed to additional closings on or before the 30th calendar day anniversary of the initial closing date, if the Placement Agent exercises its option to place additional ADSs of up to an aggregate amount of 1% of the Securities to one or more investors by delivery of one or more written notices.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summaries of the Placement Agency Agreement, the Side Letter and the Purchase Agreement do not purport to be complete and are subject to, and qualified in their entirety by, such documents filed as Exhibits 1.1, 1.2 and 10.1, respectively, hereto and incorporated by reference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of the opinion of Maples and Calder (Hong Kong) LLP relating to the legality of the issuance and sale of the Securities is filed as Exhibits 5.1 hereto.</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June 26, 2026, the Company issued a press release related to the Offering entitled “XCharge Announces Pricing of $4.375 Million Registered Direct Offering with a Single Global Institutional Investor”, which press release is furnished as Exhibit 99.1 to this Current Report on Form 8-K.</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contained in this Report on Form 6-K, including Exhibit 99.1 hereto, is hereby incorporated by reference into the Company’s registration statement on Form F-3 (File No. 333-292266).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1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Current Report on Form 6-K shall not constitute an offer to sell or the solicitation of an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in this announcement are forward-looking statements.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in its other filings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200" w:type="dxa"/>
            <w:vAlign w:val="bottom"/>
            <w:tcBorders>
              <w:top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tcBorders>
              <w:top w:val="single" w:sz="8" w:color="808080"/>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86"/>
        </w:trPr>
        <w:tc>
          <w:tcPr>
            <w:tcW w:w="1200" w:type="dxa"/>
            <w:vAlign w:val="bottom"/>
            <w:tcBorders>
              <w:bottom w:val="single" w:sz="8" w:color="808080"/>
            </w:tcBorders>
          </w:tcPr>
          <w:p>
            <w:pPr>
              <w:spacing w:after="0"/>
              <w:rPr>
                <w:sz w:val="7"/>
                <w:szCs w:val="7"/>
                <w:color w:val="auto"/>
              </w:rPr>
            </w:pPr>
          </w:p>
        </w:tc>
        <w:tc>
          <w:tcPr>
            <w:tcW w:w="288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3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r>
      <w:tr>
        <w:trPr>
          <w:trHeight w:val="169"/>
        </w:trPr>
        <w:tc>
          <w:tcPr>
            <w:tcW w:w="12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0040" w:type="dxa"/>
            <w:vAlign w:val="bottom"/>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Placement Agency Agreement, dated June 25, 2026, by and between the Company and A.G.P./Alliance Global Partners</w:t>
            </w:r>
          </w:p>
        </w:tc>
      </w:tr>
      <w:tr>
        <w:trPr>
          <w:trHeight w:val="128"/>
        </w:trPr>
        <w:tc>
          <w:tcPr>
            <w:tcW w:w="1200" w:type="dxa"/>
            <w:vAlign w:val="bottom"/>
            <w:tcBorders>
              <w:top w:val="single" w:sz="8" w:color="CCEEFF"/>
              <w:bottom w:val="single" w:sz="8" w:color="808080"/>
            </w:tcBorders>
            <w:shd w:val="clear" w:color="auto" w:fill="CCEEFF"/>
          </w:tcPr>
          <w:p>
            <w:pPr>
              <w:spacing w:after="0"/>
              <w:rPr>
                <w:sz w:val="11"/>
                <w:szCs w:val="11"/>
                <w:color w:val="auto"/>
              </w:rPr>
            </w:pPr>
          </w:p>
        </w:tc>
        <w:tc>
          <w:tcPr>
            <w:tcW w:w="2880" w:type="dxa"/>
            <w:vAlign w:val="bottom"/>
            <w:tcBorders>
              <w:top w:val="single" w:sz="8" w:color="0000EE"/>
              <w:bottom w:val="single" w:sz="8" w:color="808080"/>
            </w:tcBorders>
            <w:shd w:val="clear" w:color="auto" w:fill="CCEEFF"/>
          </w:tcPr>
          <w:p>
            <w:pPr>
              <w:spacing w:after="0"/>
              <w:rPr>
                <w:sz w:val="11"/>
                <w:szCs w:val="11"/>
                <w:color w:val="auto"/>
              </w:rPr>
            </w:pPr>
          </w:p>
        </w:tc>
        <w:tc>
          <w:tcPr>
            <w:tcW w:w="680" w:type="dxa"/>
            <w:vAlign w:val="bottom"/>
            <w:tcBorders>
              <w:top w:val="single" w:sz="8" w:color="0000EE"/>
              <w:bottom w:val="single" w:sz="8" w:color="808080"/>
            </w:tcBorders>
            <w:shd w:val="clear" w:color="auto" w:fill="CCEEFF"/>
          </w:tcPr>
          <w:p>
            <w:pPr>
              <w:spacing w:after="0"/>
              <w:rPr>
                <w:sz w:val="11"/>
                <w:szCs w:val="11"/>
                <w:color w:val="auto"/>
              </w:rPr>
            </w:pPr>
          </w:p>
        </w:tc>
        <w:tc>
          <w:tcPr>
            <w:tcW w:w="1460" w:type="dxa"/>
            <w:vAlign w:val="bottom"/>
            <w:tcBorders>
              <w:top w:val="single" w:sz="8" w:color="0000EE"/>
              <w:bottom w:val="single" w:sz="8" w:color="808080"/>
            </w:tcBorders>
            <w:shd w:val="clear" w:color="auto" w:fill="CCEEFF"/>
          </w:tcPr>
          <w:p>
            <w:pPr>
              <w:spacing w:after="0"/>
              <w:rPr>
                <w:sz w:val="11"/>
                <w:szCs w:val="11"/>
                <w:color w:val="auto"/>
              </w:rPr>
            </w:pPr>
          </w:p>
        </w:tc>
        <w:tc>
          <w:tcPr>
            <w:tcW w:w="360" w:type="dxa"/>
            <w:vAlign w:val="bottom"/>
            <w:tcBorders>
              <w:top w:val="single" w:sz="8" w:color="0000EE"/>
              <w:bottom w:val="single" w:sz="8" w:color="808080"/>
            </w:tcBorders>
            <w:shd w:val="clear" w:color="auto" w:fill="CCEEFF"/>
          </w:tcPr>
          <w:p>
            <w:pPr>
              <w:spacing w:after="0"/>
              <w:rPr>
                <w:sz w:val="11"/>
                <w:szCs w:val="11"/>
                <w:color w:val="auto"/>
              </w:rPr>
            </w:pPr>
          </w:p>
        </w:tc>
        <w:tc>
          <w:tcPr>
            <w:tcW w:w="3300" w:type="dxa"/>
            <w:vAlign w:val="bottom"/>
            <w:tcBorders>
              <w:top w:val="single" w:sz="8" w:color="0000EE"/>
              <w:bottom w:val="single" w:sz="8" w:color="808080"/>
            </w:tcBorders>
            <w:shd w:val="clear" w:color="auto" w:fill="CCEEFF"/>
          </w:tcPr>
          <w:p>
            <w:pPr>
              <w:spacing w:after="0"/>
              <w:rPr>
                <w:sz w:val="11"/>
                <w:szCs w:val="11"/>
                <w:color w:val="auto"/>
              </w:rPr>
            </w:pPr>
          </w:p>
        </w:tc>
        <w:tc>
          <w:tcPr>
            <w:tcW w:w="900" w:type="dxa"/>
            <w:vAlign w:val="bottom"/>
            <w:tcBorders>
              <w:top w:val="single" w:sz="8" w:color="CCEEFF"/>
              <w:bottom w:val="single" w:sz="8" w:color="808080"/>
            </w:tcBorders>
            <w:shd w:val="clear" w:color="auto" w:fill="CCEEFF"/>
          </w:tcPr>
          <w:p>
            <w:pPr>
              <w:spacing w:after="0"/>
              <w:rPr>
                <w:sz w:val="11"/>
                <w:szCs w:val="11"/>
                <w:color w:val="auto"/>
              </w:rPr>
            </w:pPr>
          </w:p>
        </w:tc>
        <w:tc>
          <w:tcPr>
            <w:tcW w:w="460" w:type="dxa"/>
            <w:vAlign w:val="bottom"/>
            <w:tcBorders>
              <w:top w:val="single" w:sz="8" w:color="CCEEFF"/>
              <w:bottom w:val="single" w:sz="8" w:color="808080"/>
            </w:tcBorders>
            <w:shd w:val="clear" w:color="auto" w:fill="CCEEFF"/>
          </w:tcPr>
          <w:p>
            <w:pPr>
              <w:spacing w:after="0"/>
              <w:rPr>
                <w:sz w:val="11"/>
                <w:szCs w:val="11"/>
                <w:color w:val="auto"/>
              </w:rPr>
            </w:pPr>
          </w:p>
        </w:tc>
      </w:tr>
      <w:tr>
        <w:trPr>
          <w:trHeight w:val="169"/>
        </w:trPr>
        <w:tc>
          <w:tcPr>
            <w:tcW w:w="12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1.2*</w:t>
            </w:r>
          </w:p>
        </w:tc>
        <w:tc>
          <w:tcPr>
            <w:tcW w:w="1004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Side Letter to the Placement Agency Agreement, dated June 29, 2026</w:t>
            </w:r>
          </w:p>
        </w:tc>
      </w:tr>
      <w:tr>
        <w:trPr>
          <w:trHeight w:val="128"/>
        </w:trPr>
        <w:tc>
          <w:tcPr>
            <w:tcW w:w="1200" w:type="dxa"/>
            <w:vAlign w:val="bottom"/>
            <w:tcBorders>
              <w:bottom w:val="single" w:sz="8" w:color="808080"/>
            </w:tcBorders>
          </w:tcPr>
          <w:p>
            <w:pPr>
              <w:spacing w:after="0"/>
              <w:rPr>
                <w:sz w:val="11"/>
                <w:szCs w:val="11"/>
                <w:color w:val="auto"/>
              </w:rPr>
            </w:pPr>
          </w:p>
        </w:tc>
        <w:tc>
          <w:tcPr>
            <w:tcW w:w="2880" w:type="dxa"/>
            <w:vAlign w:val="bottom"/>
            <w:tcBorders>
              <w:top w:val="single" w:sz="8" w:color="0000FF"/>
              <w:bottom w:val="single" w:sz="8" w:color="808080"/>
            </w:tcBorders>
          </w:tcPr>
          <w:p>
            <w:pPr>
              <w:spacing w:after="0"/>
              <w:rPr>
                <w:sz w:val="11"/>
                <w:szCs w:val="11"/>
                <w:color w:val="auto"/>
              </w:rPr>
            </w:pPr>
          </w:p>
        </w:tc>
        <w:tc>
          <w:tcPr>
            <w:tcW w:w="680" w:type="dxa"/>
            <w:vAlign w:val="bottom"/>
            <w:tcBorders>
              <w:top w:val="single" w:sz="8" w:color="0000FF"/>
              <w:bottom w:val="single" w:sz="8" w:color="808080"/>
            </w:tcBorders>
          </w:tcPr>
          <w:p>
            <w:pPr>
              <w:spacing w:after="0"/>
              <w:rPr>
                <w:sz w:val="11"/>
                <w:szCs w:val="11"/>
                <w:color w:val="auto"/>
              </w:rPr>
            </w:pPr>
          </w:p>
        </w:tc>
        <w:tc>
          <w:tcPr>
            <w:tcW w:w="1460" w:type="dxa"/>
            <w:vAlign w:val="bottom"/>
            <w:tcBorders>
              <w:top w:val="single" w:sz="8" w:color="0000FF"/>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3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r>
      <w:tr>
        <w:trPr>
          <w:trHeight w:val="169"/>
        </w:trPr>
        <w:tc>
          <w:tcPr>
            <w:tcW w:w="12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10040" w:type="dxa"/>
            <w:vAlign w:val="bottom"/>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Opinion of Maples and Calder (Hong Kong) LLP</w:t>
            </w:r>
          </w:p>
        </w:tc>
      </w:tr>
      <w:tr>
        <w:trPr>
          <w:trHeight w:val="128"/>
        </w:trPr>
        <w:tc>
          <w:tcPr>
            <w:tcW w:w="1200" w:type="dxa"/>
            <w:vAlign w:val="bottom"/>
            <w:tcBorders>
              <w:top w:val="single" w:sz="8" w:color="CCEEFF"/>
              <w:bottom w:val="single" w:sz="8" w:color="808080"/>
            </w:tcBorders>
            <w:shd w:val="clear" w:color="auto" w:fill="CCEEFF"/>
          </w:tcPr>
          <w:p>
            <w:pPr>
              <w:spacing w:after="0"/>
              <w:rPr>
                <w:sz w:val="11"/>
                <w:szCs w:val="11"/>
                <w:color w:val="auto"/>
              </w:rPr>
            </w:pPr>
          </w:p>
        </w:tc>
        <w:tc>
          <w:tcPr>
            <w:tcW w:w="2880" w:type="dxa"/>
            <w:vAlign w:val="bottom"/>
            <w:tcBorders>
              <w:top w:val="single" w:sz="8" w:color="0000FF"/>
              <w:bottom w:val="single" w:sz="8" w:color="808080"/>
            </w:tcBorders>
            <w:shd w:val="clear" w:color="auto" w:fill="CCEEFF"/>
          </w:tcPr>
          <w:p>
            <w:pPr>
              <w:spacing w:after="0"/>
              <w:rPr>
                <w:sz w:val="11"/>
                <w:szCs w:val="11"/>
                <w:color w:val="auto"/>
              </w:rPr>
            </w:pPr>
          </w:p>
        </w:tc>
        <w:tc>
          <w:tcPr>
            <w:tcW w:w="680" w:type="dxa"/>
            <w:vAlign w:val="bottom"/>
            <w:tcBorders>
              <w:top w:val="single" w:sz="8" w:color="0000FF"/>
              <w:bottom w:val="single" w:sz="8" w:color="808080"/>
            </w:tcBorders>
            <w:shd w:val="clear" w:color="auto" w:fill="CCEEFF"/>
          </w:tcPr>
          <w:p>
            <w:pPr>
              <w:spacing w:after="0"/>
              <w:rPr>
                <w:sz w:val="11"/>
                <w:szCs w:val="11"/>
                <w:color w:val="auto"/>
              </w:rPr>
            </w:pPr>
          </w:p>
        </w:tc>
        <w:tc>
          <w:tcPr>
            <w:tcW w:w="1460" w:type="dxa"/>
            <w:vAlign w:val="bottom"/>
            <w:tcBorders>
              <w:top w:val="single" w:sz="8" w:color="CCEEFF"/>
              <w:bottom w:val="single" w:sz="8" w:color="808080"/>
            </w:tcBorders>
            <w:shd w:val="clear" w:color="auto" w:fill="CCEEFF"/>
          </w:tcPr>
          <w:p>
            <w:pPr>
              <w:spacing w:after="0"/>
              <w:rPr>
                <w:sz w:val="11"/>
                <w:szCs w:val="11"/>
                <w:color w:val="auto"/>
              </w:rPr>
            </w:pPr>
          </w:p>
        </w:tc>
        <w:tc>
          <w:tcPr>
            <w:tcW w:w="360" w:type="dxa"/>
            <w:vAlign w:val="bottom"/>
            <w:tcBorders>
              <w:top w:val="single" w:sz="8" w:color="CCEEFF"/>
              <w:bottom w:val="single" w:sz="8" w:color="808080"/>
            </w:tcBorders>
            <w:shd w:val="clear" w:color="auto" w:fill="CCEEFF"/>
          </w:tcPr>
          <w:p>
            <w:pPr>
              <w:spacing w:after="0"/>
              <w:rPr>
                <w:sz w:val="11"/>
                <w:szCs w:val="11"/>
                <w:color w:val="auto"/>
              </w:rPr>
            </w:pPr>
          </w:p>
        </w:tc>
        <w:tc>
          <w:tcPr>
            <w:tcW w:w="3300" w:type="dxa"/>
            <w:vAlign w:val="bottom"/>
            <w:tcBorders>
              <w:top w:val="single" w:sz="8" w:color="CCEEFF"/>
              <w:bottom w:val="single" w:sz="8" w:color="808080"/>
            </w:tcBorders>
            <w:shd w:val="clear" w:color="auto" w:fill="CCEEFF"/>
          </w:tcPr>
          <w:p>
            <w:pPr>
              <w:spacing w:after="0"/>
              <w:rPr>
                <w:sz w:val="11"/>
                <w:szCs w:val="11"/>
                <w:color w:val="auto"/>
              </w:rPr>
            </w:pPr>
          </w:p>
        </w:tc>
        <w:tc>
          <w:tcPr>
            <w:tcW w:w="900" w:type="dxa"/>
            <w:vAlign w:val="bottom"/>
            <w:tcBorders>
              <w:top w:val="single" w:sz="8" w:color="CCEEFF"/>
              <w:bottom w:val="single" w:sz="8" w:color="808080"/>
            </w:tcBorders>
            <w:shd w:val="clear" w:color="auto" w:fill="CCEEFF"/>
          </w:tcPr>
          <w:p>
            <w:pPr>
              <w:spacing w:after="0"/>
              <w:rPr>
                <w:sz w:val="11"/>
                <w:szCs w:val="11"/>
                <w:color w:val="auto"/>
              </w:rPr>
            </w:pPr>
          </w:p>
        </w:tc>
        <w:tc>
          <w:tcPr>
            <w:tcW w:w="460" w:type="dxa"/>
            <w:vAlign w:val="bottom"/>
            <w:tcBorders>
              <w:top w:val="single" w:sz="8" w:color="CCEEFF"/>
              <w:bottom w:val="single" w:sz="8" w:color="808080"/>
            </w:tcBorders>
            <w:shd w:val="clear" w:color="auto" w:fill="CCEEFF"/>
          </w:tcPr>
          <w:p>
            <w:pPr>
              <w:spacing w:after="0"/>
              <w:rPr>
                <w:sz w:val="11"/>
                <w:szCs w:val="11"/>
                <w:color w:val="auto"/>
              </w:rPr>
            </w:pPr>
          </w:p>
        </w:tc>
      </w:tr>
      <w:tr>
        <w:trPr>
          <w:trHeight w:val="169"/>
        </w:trPr>
        <w:tc>
          <w:tcPr>
            <w:tcW w:w="12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4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Form of Securities Purchase Agreement</w:t>
            </w:r>
          </w:p>
        </w:tc>
      </w:tr>
      <w:tr>
        <w:trPr>
          <w:trHeight w:val="128"/>
        </w:trPr>
        <w:tc>
          <w:tcPr>
            <w:tcW w:w="1200" w:type="dxa"/>
            <w:vAlign w:val="bottom"/>
            <w:tcBorders>
              <w:bottom w:val="single" w:sz="8" w:color="808080"/>
            </w:tcBorders>
          </w:tcPr>
          <w:p>
            <w:pPr>
              <w:spacing w:after="0"/>
              <w:rPr>
                <w:sz w:val="11"/>
                <w:szCs w:val="11"/>
                <w:color w:val="auto"/>
              </w:rPr>
            </w:pPr>
          </w:p>
        </w:tc>
        <w:tc>
          <w:tcPr>
            <w:tcW w:w="2880" w:type="dxa"/>
            <w:vAlign w:val="bottom"/>
            <w:tcBorders>
              <w:top w:val="single" w:sz="8" w:color="0000FF"/>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3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r>
      <w:tr>
        <w:trPr>
          <w:trHeight w:val="169"/>
        </w:trPr>
        <w:tc>
          <w:tcPr>
            <w:tcW w:w="12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10040" w:type="dxa"/>
            <w:vAlign w:val="bottom"/>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Consent of Maples and Calder (Hong Kong) LLP (included in Exhibit 5.1)</w:t>
            </w:r>
          </w:p>
        </w:tc>
      </w:tr>
      <w:tr>
        <w:trPr>
          <w:trHeight w:val="128"/>
        </w:trPr>
        <w:tc>
          <w:tcPr>
            <w:tcW w:w="1200" w:type="dxa"/>
            <w:vAlign w:val="bottom"/>
            <w:tcBorders>
              <w:top w:val="single" w:sz="8" w:color="CCEEFF"/>
              <w:bottom w:val="single" w:sz="8" w:color="808080"/>
            </w:tcBorders>
            <w:shd w:val="clear" w:color="auto" w:fill="CCEEFF"/>
          </w:tcPr>
          <w:p>
            <w:pPr>
              <w:spacing w:after="0"/>
              <w:rPr>
                <w:sz w:val="11"/>
                <w:szCs w:val="11"/>
                <w:color w:val="auto"/>
              </w:rPr>
            </w:pPr>
          </w:p>
        </w:tc>
        <w:tc>
          <w:tcPr>
            <w:tcW w:w="2880" w:type="dxa"/>
            <w:vAlign w:val="bottom"/>
            <w:tcBorders>
              <w:top w:val="single" w:sz="8" w:color="0000FF"/>
              <w:bottom w:val="single" w:sz="8" w:color="808080"/>
            </w:tcBorders>
            <w:shd w:val="clear" w:color="auto" w:fill="CCEEFF"/>
          </w:tcPr>
          <w:p>
            <w:pPr>
              <w:spacing w:after="0"/>
              <w:rPr>
                <w:sz w:val="11"/>
                <w:szCs w:val="11"/>
                <w:color w:val="auto"/>
              </w:rPr>
            </w:pPr>
          </w:p>
        </w:tc>
        <w:tc>
          <w:tcPr>
            <w:tcW w:w="680" w:type="dxa"/>
            <w:vAlign w:val="bottom"/>
            <w:tcBorders>
              <w:top w:val="single" w:sz="8" w:color="0000FF"/>
              <w:bottom w:val="single" w:sz="8" w:color="808080"/>
            </w:tcBorders>
            <w:shd w:val="clear" w:color="auto" w:fill="CCEEFF"/>
          </w:tcPr>
          <w:p>
            <w:pPr>
              <w:spacing w:after="0"/>
              <w:rPr>
                <w:sz w:val="11"/>
                <w:szCs w:val="11"/>
                <w:color w:val="auto"/>
              </w:rPr>
            </w:pPr>
          </w:p>
        </w:tc>
        <w:tc>
          <w:tcPr>
            <w:tcW w:w="1460" w:type="dxa"/>
            <w:vAlign w:val="bottom"/>
            <w:tcBorders>
              <w:top w:val="single" w:sz="8" w:color="0000FF"/>
              <w:bottom w:val="single" w:sz="8" w:color="808080"/>
            </w:tcBorders>
            <w:shd w:val="clear" w:color="auto" w:fill="CCEEFF"/>
          </w:tcPr>
          <w:p>
            <w:pPr>
              <w:spacing w:after="0"/>
              <w:rPr>
                <w:sz w:val="11"/>
                <w:szCs w:val="11"/>
                <w:color w:val="auto"/>
              </w:rPr>
            </w:pPr>
          </w:p>
        </w:tc>
        <w:tc>
          <w:tcPr>
            <w:tcW w:w="360" w:type="dxa"/>
            <w:vAlign w:val="bottom"/>
            <w:tcBorders>
              <w:top w:val="single" w:sz="8" w:color="0000FF"/>
              <w:bottom w:val="single" w:sz="8" w:color="808080"/>
            </w:tcBorders>
            <w:shd w:val="clear" w:color="auto" w:fill="CCEEFF"/>
          </w:tcPr>
          <w:p>
            <w:pPr>
              <w:spacing w:after="0"/>
              <w:rPr>
                <w:sz w:val="11"/>
                <w:szCs w:val="11"/>
                <w:color w:val="auto"/>
              </w:rPr>
            </w:pPr>
          </w:p>
        </w:tc>
        <w:tc>
          <w:tcPr>
            <w:tcW w:w="3300" w:type="dxa"/>
            <w:vAlign w:val="bottom"/>
            <w:tcBorders>
              <w:top w:val="single" w:sz="8" w:color="CCEEFF"/>
              <w:bottom w:val="single" w:sz="8" w:color="808080"/>
            </w:tcBorders>
            <w:shd w:val="clear" w:color="auto" w:fill="CCEEFF"/>
          </w:tcPr>
          <w:p>
            <w:pPr>
              <w:spacing w:after="0"/>
              <w:rPr>
                <w:sz w:val="11"/>
                <w:szCs w:val="11"/>
                <w:color w:val="auto"/>
              </w:rPr>
            </w:pPr>
          </w:p>
        </w:tc>
        <w:tc>
          <w:tcPr>
            <w:tcW w:w="900" w:type="dxa"/>
            <w:vAlign w:val="bottom"/>
            <w:tcBorders>
              <w:top w:val="single" w:sz="8" w:color="CCEEFF"/>
              <w:bottom w:val="single" w:sz="8" w:color="808080"/>
            </w:tcBorders>
            <w:shd w:val="clear" w:color="auto" w:fill="CCEEFF"/>
          </w:tcPr>
          <w:p>
            <w:pPr>
              <w:spacing w:after="0"/>
              <w:rPr>
                <w:sz w:val="11"/>
                <w:szCs w:val="11"/>
                <w:color w:val="auto"/>
              </w:rPr>
            </w:pPr>
          </w:p>
        </w:tc>
        <w:tc>
          <w:tcPr>
            <w:tcW w:w="460" w:type="dxa"/>
            <w:vAlign w:val="bottom"/>
            <w:tcBorders>
              <w:top w:val="single" w:sz="8" w:color="CCEEFF"/>
              <w:bottom w:val="single" w:sz="8" w:color="808080"/>
            </w:tcBorders>
            <w:shd w:val="clear" w:color="auto" w:fill="CCEEFF"/>
          </w:tcPr>
          <w:p>
            <w:pPr>
              <w:spacing w:after="0"/>
              <w:rPr>
                <w:sz w:val="11"/>
                <w:szCs w:val="11"/>
                <w:color w:val="auto"/>
              </w:rPr>
            </w:pPr>
          </w:p>
        </w:tc>
      </w:tr>
      <w:tr>
        <w:trPr>
          <w:trHeight w:val="169"/>
        </w:trPr>
        <w:tc>
          <w:tcPr>
            <w:tcW w:w="12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4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 xml:space="preserve">Press Release - XCharge Announces Pricing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4.375 Million Registered Direct Offering with a Single Global Institutional Investor</w:t>
            </w:r>
          </w:p>
        </w:tc>
      </w:tr>
      <w:tr>
        <w:trPr>
          <w:trHeight w:val="128"/>
        </w:trPr>
        <w:tc>
          <w:tcPr>
            <w:tcW w:w="1200" w:type="dxa"/>
            <w:vAlign w:val="bottom"/>
            <w:tcBorders>
              <w:bottom w:val="single" w:sz="8" w:color="808080"/>
            </w:tcBorders>
          </w:tcPr>
          <w:p>
            <w:pPr>
              <w:spacing w:after="0"/>
              <w:rPr>
                <w:sz w:val="11"/>
                <w:szCs w:val="11"/>
                <w:color w:val="auto"/>
              </w:rPr>
            </w:pPr>
          </w:p>
        </w:tc>
        <w:tc>
          <w:tcPr>
            <w:tcW w:w="2880" w:type="dxa"/>
            <w:vAlign w:val="bottom"/>
            <w:tcBorders>
              <w:top w:val="single" w:sz="8" w:color="0000FF"/>
              <w:bottom w:val="single" w:sz="8" w:color="808080"/>
            </w:tcBorders>
          </w:tcPr>
          <w:p>
            <w:pPr>
              <w:spacing w:after="0"/>
              <w:rPr>
                <w:sz w:val="11"/>
                <w:szCs w:val="11"/>
                <w:color w:val="auto"/>
              </w:rPr>
            </w:pPr>
          </w:p>
        </w:tc>
        <w:tc>
          <w:tcPr>
            <w:tcW w:w="680" w:type="dxa"/>
            <w:vAlign w:val="bottom"/>
            <w:tcBorders>
              <w:top w:val="single" w:sz="8" w:color="0000FF"/>
              <w:bottom w:val="single" w:sz="8" w:color="808080"/>
            </w:tcBorders>
          </w:tcPr>
          <w:p>
            <w:pPr>
              <w:spacing w:after="0"/>
              <w:rPr>
                <w:sz w:val="11"/>
                <w:szCs w:val="11"/>
                <w:color w:val="auto"/>
              </w:rPr>
            </w:pPr>
          </w:p>
        </w:tc>
        <w:tc>
          <w:tcPr>
            <w:tcW w:w="1460" w:type="dxa"/>
            <w:vAlign w:val="bottom"/>
            <w:tcBorders>
              <w:top w:val="single" w:sz="8" w:color="0000FF"/>
              <w:bottom w:val="single" w:sz="8" w:color="808080"/>
            </w:tcBorders>
          </w:tcPr>
          <w:p>
            <w:pPr>
              <w:spacing w:after="0"/>
              <w:rPr>
                <w:sz w:val="11"/>
                <w:szCs w:val="11"/>
                <w:color w:val="auto"/>
              </w:rPr>
            </w:pPr>
          </w:p>
        </w:tc>
        <w:tc>
          <w:tcPr>
            <w:tcW w:w="360" w:type="dxa"/>
            <w:vAlign w:val="bottom"/>
            <w:tcBorders>
              <w:top w:val="single" w:sz="8" w:color="0000FF"/>
              <w:bottom w:val="single" w:sz="8" w:color="808080"/>
            </w:tcBorders>
          </w:tcPr>
          <w:p>
            <w:pPr>
              <w:spacing w:after="0"/>
              <w:rPr>
                <w:sz w:val="11"/>
                <w:szCs w:val="11"/>
                <w:color w:val="auto"/>
              </w:rPr>
            </w:pPr>
          </w:p>
        </w:tc>
        <w:tc>
          <w:tcPr>
            <w:tcW w:w="3300" w:type="dxa"/>
            <w:vAlign w:val="bottom"/>
            <w:tcBorders>
              <w:top w:val="single" w:sz="8" w:color="0000FF"/>
              <w:bottom w:val="single" w:sz="8" w:color="808080"/>
            </w:tcBorders>
          </w:tcPr>
          <w:p>
            <w:pPr>
              <w:spacing w:after="0"/>
              <w:rPr>
                <w:sz w:val="11"/>
                <w:szCs w:val="11"/>
                <w:color w:val="auto"/>
              </w:rPr>
            </w:pPr>
          </w:p>
        </w:tc>
        <w:tc>
          <w:tcPr>
            <w:tcW w:w="900" w:type="dxa"/>
            <w:vAlign w:val="bottom"/>
            <w:tcBorders>
              <w:top w:val="single" w:sz="8" w:color="0000FF"/>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r>
      <w:tr>
        <w:trPr>
          <w:trHeight w:val="228"/>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0"/>
        </w:trPr>
        <w:tc>
          <w:tcPr>
            <w:tcW w:w="1200" w:type="dxa"/>
            <w:vAlign w:val="bottom"/>
            <w:tcBorders>
              <w:bottom w:val="single" w:sz="8" w:color="808080"/>
            </w:tcBorders>
            <w:shd w:val="clear" w:color="auto" w:fill="CCEEFF"/>
          </w:tcPr>
          <w:p>
            <w:pPr>
              <w:spacing w:after="0"/>
              <w:rPr>
                <w:sz w:val="7"/>
                <w:szCs w:val="7"/>
                <w:color w:val="auto"/>
              </w:rPr>
            </w:pPr>
          </w:p>
        </w:tc>
        <w:tc>
          <w:tcPr>
            <w:tcW w:w="288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330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r>
      <w:tr>
        <w:trPr>
          <w:trHeight w:val="318"/>
        </w:trPr>
        <w:tc>
          <w:tcPr>
            <w:tcW w:w="120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r>
    </w:tbl>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Certain personal information has been omitted from this exhibit pursuant to Item 601(a)(6)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20" w:firstLine="7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5580" w:type="dxa"/>
            <w:vAlign w:val="bottom"/>
            <w:gridSpan w:val="2"/>
          </w:tcPr>
          <w:p>
            <w:pPr>
              <w:ind w:left="4220"/>
              <w:spacing w:after="0"/>
              <w:rPr>
                <w:sz w:val="20"/>
                <w:szCs w:val="20"/>
                <w:color w:val="auto"/>
              </w:rPr>
            </w:pPr>
            <w:r>
              <w:rPr>
                <w:rFonts w:ascii="Times New Roman" w:cs="Times New Roman" w:eastAsia="Times New Roman" w:hAnsi="Times New Roman"/>
                <w:sz w:val="18"/>
                <w:szCs w:val="18"/>
                <w:color w:val="auto"/>
              </w:rPr>
              <w:t>XCHG Limited</w:t>
            </w:r>
          </w:p>
        </w:tc>
      </w:tr>
      <w:tr>
        <w:trPr>
          <w:trHeight w:val="432"/>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5580" w:type="dxa"/>
            <w:vAlign w:val="bottom"/>
            <w:gridSpan w:val="2"/>
          </w:tcPr>
          <w:p>
            <w:pPr>
              <w:ind w:left="4220"/>
              <w:spacing w:after="0"/>
              <w:rPr>
                <w:sz w:val="20"/>
                <w:szCs w:val="20"/>
                <w:color w:val="auto"/>
              </w:rPr>
            </w:pPr>
            <w:r>
              <w:rPr>
                <w:rFonts w:ascii="Times New Roman" w:cs="Times New Roman" w:eastAsia="Times New Roman" w:hAnsi="Times New Roman"/>
                <w:sz w:val="18"/>
                <w:szCs w:val="18"/>
                <w:color w:val="auto"/>
              </w:rPr>
              <w:t>By:  /s/ Yifei Hou</w:t>
            </w:r>
          </w:p>
        </w:tc>
      </w:tr>
      <w:tr>
        <w:trPr>
          <w:trHeight w:val="191"/>
        </w:trPr>
        <w:tc>
          <w:tcPr>
            <w:tcW w:w="56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Name: Yifei</w:t>
            </w:r>
          </w:p>
        </w:tc>
      </w:tr>
      <w:tr>
        <w:trPr>
          <w:trHeight w:val="216"/>
        </w:trPr>
        <w:tc>
          <w:tcPr>
            <w:tcW w:w="56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w:t>
            </w:r>
          </w:p>
        </w:tc>
      </w:tr>
      <w:tr>
        <w:trPr>
          <w:trHeight w:val="216"/>
        </w:trPr>
        <w:tc>
          <w:tcPr>
            <w:tcW w:w="56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Co-</w:t>
            </w:r>
          </w:p>
        </w:tc>
      </w:tr>
      <w:tr>
        <w:trPr>
          <w:trHeight w:val="216"/>
        </w:trPr>
        <w:tc>
          <w:tcPr>
            <w:tcW w:w="56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w:t>
            </w:r>
          </w:p>
        </w:tc>
      </w:tr>
      <w:tr>
        <w:trPr>
          <w:trHeight w:val="216"/>
        </w:trPr>
        <w:tc>
          <w:tcPr>
            <w:tcW w:w="56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w:t>
            </w:r>
          </w:p>
        </w:tc>
      </w:tr>
      <w:tr>
        <w:trPr>
          <w:trHeight w:val="234"/>
        </w:trPr>
        <w:tc>
          <w:tcPr>
            <w:tcW w:w="56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1431"/>
        </w:trPr>
        <w:tc>
          <w:tcPr>
            <w:tcW w:w="566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r>
      <w:tr>
        <w:trPr>
          <w:trHeight w:val="1837"/>
        </w:trPr>
        <w:tc>
          <w:tcPr>
            <w:tcW w:w="56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A.G.P./Alliance Global Partners</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590 Madison Avenue, 28th Floor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200" w:lineRule="exact"/>
        <w:rPr>
          <w:sz w:val="20"/>
          <w:szCs w:val="20"/>
          <w:color w:val="auto"/>
        </w:rPr>
      </w:pPr>
    </w:p>
    <w:p>
      <w:pPr>
        <w:spacing w:after="0" w:line="223"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June 25,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XCHG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XCharge Europe GmbH, Heselstücken 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22453 Hamburg, 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Yifei Hou, Director and Chief Executive Officer</w:t>
      </w:r>
    </w:p>
    <w:p>
      <w:pPr>
        <w:spacing w:after="0" w:line="200" w:lineRule="exact"/>
        <w:rPr>
          <w:sz w:val="20"/>
          <w:szCs w:val="20"/>
          <w:color w:val="auto"/>
        </w:rPr>
      </w:pPr>
    </w:p>
    <w:p>
      <w:pPr>
        <w:spacing w:after="0" w:line="21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This letter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constitutes the agreement between A.G.P./Alliance Global Partners, as placement agent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and XCHG Limited, an exempted company incorporated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the Placement Agent shall serve as the placement agent for the Company, on a “reasonable best efforts” basis, in connection with the proposed placement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of the Company’s American depositary shares ( the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each representing 40 of the Company’s Class A ordinary shares, par value $0.00001 per share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ADS shall be offered and sold under the Company’s registration statement on Form F-3 (File No. 333-292266)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ADS actually placed by the Placement Agent are referred to herein as the “</w:t>
      </w:r>
      <w:r>
        <w:rPr>
          <w:rFonts w:ascii="Times New Roman" w:cs="Times New Roman" w:eastAsia="Times New Roman" w:hAnsi="Times New Roman"/>
          <w:sz w:val="18"/>
          <w:szCs w:val="18"/>
          <w:b w:val="1"/>
          <w:bCs w:val="1"/>
          <w:color w:val="auto"/>
        </w:rPr>
        <w:t>Placement Agent Securities</w:t>
      </w:r>
      <w:r>
        <w:rPr>
          <w:rFonts w:ascii="Times New Roman" w:cs="Times New Roman" w:eastAsia="Times New Roman" w:hAnsi="Times New Roman"/>
          <w:sz w:val="18"/>
          <w:szCs w:val="18"/>
          <w:color w:val="auto"/>
        </w:rPr>
        <w:t>.” The terms of the Placement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mutually agreed upon by the Company and the purchasers (each, 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herein shall obligate the Company to issue any ADS or complete the Placement. The Company expressly acknowledges and agrees that the Placement Agent’s obligations hereunder are on a reasonable best efforts basis only and that the execution of this Agreement does not constitute a commitment by the Placement Agent to purchase the ADS and does not ensure the successful placement of the ADS or any portion thereof or the success of the Placement Agent with respect to securing any other financing on behalf of the Company. The Placement Agent may retain other brokers or dealers to act as sub-agents or selected-dealers on its behalf in connection with the Placement. Certain affiliates of the Placement Agent may participate in the Placement by purchasing some of the Placement Agent Securities. The sale of Placement Agent Securities to any Purchaser will be evidenced by a securities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between the Company and such Purchaser, in a form reasonably acceptable to the Company and the Purchaser. Capitalized terms that are not otherwise defined herein have the meanings given to such terms in the Purchase Agreement. Prior to the signing of any Purchase Agreement, officers of the Company will be available to answer inquiries from prospective Purchasers.</w:t>
      </w:r>
    </w:p>
    <w:p>
      <w:pPr>
        <w:spacing w:after="0" w:line="199"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REPRESENTATIONS AND WARRANTIES OF THE COMPANY; COVENANTS OF THE COMPANY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505"/>
        <w:spacing w:after="0" w:line="256" w:lineRule="auto"/>
        <w:tabs>
          <w:tab w:leader="none" w:pos="187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With respect to the Placement Agent Securities, each of the representations and warranties (together with any related disclosure schedules thereto) and covenants made by the Company to the Purchasers in the Purchase Agreement in connection with the Placement, is hereby incorporated herein by reference into this Agreement (as though fully restated herein) and is, as of the date of this Agreement and as of the Closing Date, hereby made to, and in favor of, the Placement Agent. In addition to the foregoing, the Company represents and warrants that there are no affiliations with any FINRA member firm among the Company's officers, directors or, to the knowledge of the Company, any five percent (5.0%) or greater stockholder of the Company, except as set forth in the Purchase Agreement and SEC Reports.</w:t>
      </w:r>
    </w:p>
    <w:p>
      <w:pPr>
        <w:spacing w:after="0" w:line="187" w:lineRule="exact"/>
        <w:rPr>
          <w:rFonts w:ascii="Times New Roman" w:cs="Times New Roman" w:eastAsia="Times New Roman" w:hAnsi="Times New Roman"/>
          <w:sz w:val="18"/>
          <w:szCs w:val="18"/>
          <w:color w:val="auto"/>
        </w:rPr>
      </w:pPr>
    </w:p>
    <w:p>
      <w:pPr>
        <w:jc w:val="both"/>
        <w:ind w:firstLine="1505"/>
        <w:spacing w:after="0" w:line="261" w:lineRule="auto"/>
        <w:tabs>
          <w:tab w:leader="none" w:pos="185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to continue to retain (i) a firm of independent PCAOB registered public accountants for a period of at least two (2) years after the Closing Date and (ii) a competent depository with respect to the Placement Agent Securities for a period of three (3) years after the Closing Date. The Company covenants and agrees that for [thirty (30) days] after the Closing Date of the Placement, the Company shall be restricted from issuing certain securities pursuant to the Section 4.11 of the Purchase Agreement.</w:t>
      </w:r>
    </w:p>
    <w:p>
      <w:pPr>
        <w:spacing w:after="0" w:line="18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OF THE PLACEMENT AGENT</w:t>
      </w:r>
      <w:r>
        <w:rPr>
          <w:rFonts w:ascii="Times New Roman" w:cs="Times New Roman" w:eastAsia="Times New Roman" w:hAnsi="Times New Roman"/>
          <w:sz w:val="18"/>
          <w:szCs w:val="18"/>
          <w:color w:val="auto"/>
        </w:rPr>
        <w:t>. The Placement Agent represents and warrants that it (i) is a member in good standing of FINRA, (ii) is registered as a broker/dealer under the Exchange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9243105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Act, (iii) is licensed as a broker/dealer under the laws of the United States of America, applicable to the offers and sales of the Placement Agent Securities by the Placement Agent, (iv) is and will be a corporate body validly existing under the laws of its place of incorporation, (v) has full power and authority to enter into and perform its obligations under this Agreement. The Placement Agent will immediately notify the Company in writing of any change in its status with respect to subsections (i) through (v) above. The Placement Agent covenants that it will use its reasonable best efforts to conduct the Placement hereunder in compliance with the provisions of this Agreement and the requirements of applicable law.</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In consideration of the services to be provided for hereunder, the Company shall pay to the Placement Agent or its respective designees a total cash fee on the Closing Date equal to six point seven five percent (6.75%) of the gross proceeds from the total amount of Placement Agent Securities sold in the Placement (the “</w:t>
      </w:r>
      <w:r>
        <w:rPr>
          <w:rFonts w:ascii="Times New Roman" w:cs="Times New Roman" w:eastAsia="Times New Roman" w:hAnsi="Times New Roman"/>
          <w:sz w:val="18"/>
          <w:szCs w:val="18"/>
          <w:b w:val="1"/>
          <w:bCs w:val="1"/>
          <w:color w:val="auto"/>
        </w:rPr>
        <w:t>Cash Fee</w:t>
      </w:r>
      <w:r>
        <w:rPr>
          <w:rFonts w:ascii="Times New Roman" w:cs="Times New Roman" w:eastAsia="Times New Roman" w:hAnsi="Times New Roman"/>
          <w:sz w:val="18"/>
          <w:szCs w:val="18"/>
          <w:color w:val="auto"/>
        </w:rPr>
        <w:t>”). The Company shall not be required to pay the Placement Agent any fees or expenses except for: (i) the Cash Fee, (ii) the reimbursement of accountable legal fees and other reasonable and documented out-of-pocket expenses incurred by the Placement Agent in connection with the transaction in the amount of $75,000 and (iii) non-accountable expenses incurred by the Placement Agent in connection with the transaction in the amount of up to $15,000. The Placement Agent reserves the right to reduce any item of compensation or adjust the terms thereof as specified herein in the event that a determination shall be made by FINRA to the effect that the Placement Agent’s aggregate compensation is in excess of FINRA Rules or that the terms thereof require adjustment.</w:t>
      </w:r>
    </w:p>
    <w:p>
      <w:pPr>
        <w:spacing w:after="0" w:line="192"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505"/>
        <w:spacing w:after="0" w:line="255" w:lineRule="auto"/>
        <w:tabs>
          <w:tab w:leader="none" w:pos="18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with respect to the Placement Agent Securities, the Company will indemnify the Placement Agent and its affiliates, stockholders, directors, officers, employees, members and controlling persons (within the meaning of Section 15 of the Securities Act or Section 20 of the Exchange Act) (collectively the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against all losses, claims, damages, expenses and liabilities, as the same are incurred (including the reasonable fees and expenses of counsel), relating to or arising out of its activities hereunder or pursuant to this Agreement, except to the extent that any losses, claims, damages, expenses or liabilities (or actions in respect thereof) are found in a final judgment (not subject to appeal) by a court of law to have resulted primarily and directly from such Indemnified Person’s willful misconduct or gross negligence in performing the services described herein.</w:t>
      </w:r>
    </w:p>
    <w:p>
      <w:pPr>
        <w:spacing w:after="0" w:line="188" w:lineRule="exact"/>
        <w:rPr>
          <w:rFonts w:ascii="Times New Roman" w:cs="Times New Roman" w:eastAsia="Times New Roman" w:hAnsi="Times New Roman"/>
          <w:sz w:val="18"/>
          <w:szCs w:val="18"/>
          <w:color w:val="auto"/>
        </w:rPr>
      </w:pPr>
    </w:p>
    <w:p>
      <w:pPr>
        <w:jc w:val="both"/>
        <w:ind w:firstLine="1505"/>
        <w:spacing w:after="0" w:line="252" w:lineRule="auto"/>
        <w:tabs>
          <w:tab w:leader="none" w:pos="18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receipt by an Indemnified Person of notice of any claim or the commencement of any action or proceeding with respect to which a Indemnified Person is entitled to indemnity hereunder, such Indemnified Person will notify the Company in writing of such claim or of the commencement of such action or proceeding, but failure to so notify the Company shall not relieve the Company from any obligation it may have hereunder, except and only to the extent such failure results in the forfeiture by the Company of substantial rights and defenses. If the Company so elects or is requested by such Indemnified Person, the Company will assume the defense of such action or proceeding and will employ counsel reasonably satisfactory to such Indemnified Person and will pay the fees and expenses of such counsel. Notwithstanding the preceding sentence, such Indemnified Person will be entitled to employ its own counsel separate from counsel for the Company and from any other party in such action if counsel for such Indemnified Person reasonably determines that it would be inappropriate under the applicable rules of professional responsibility for the same counsel to represent both the Company and such Indemnified Person. In such event, the reasonable fees and disbursements of no more than one such separate counsel will be paid by the Company, in addition to fees of local counsel. Notwithstanding anything herein to the contrary, in no event shall the Company be liable for the reasonable fees and expenses of more than one counsel (in addition to one local counsel) separate from its own counsel for all Indemnified Persons in connection with any of action or separate but similar or related actions in the same jurisdiction arising out of the same general allegations or circumstances. The Company will have the right to settle the claim or proceeding, provided that the Company will not settle any such claim, action or proceeding without the prior written consent of the Placement Agent, which will not be unreasonably withheld.</w:t>
      </w:r>
    </w:p>
    <w:p>
      <w:pPr>
        <w:spacing w:after="0" w:line="197" w:lineRule="exact"/>
        <w:rPr>
          <w:rFonts w:ascii="Times New Roman" w:cs="Times New Roman" w:eastAsia="Times New Roman" w:hAnsi="Times New Roman"/>
          <w:sz w:val="18"/>
          <w:szCs w:val="18"/>
          <w:color w:val="auto"/>
        </w:rPr>
      </w:pPr>
    </w:p>
    <w:p>
      <w:pPr>
        <w:ind w:right="20" w:firstLine="1505"/>
        <w:spacing w:after="0" w:line="282" w:lineRule="auto"/>
        <w:tabs>
          <w:tab w:leader="none" w:pos="18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notify an Indemnified Person promptly of the assertion against it or any other person of any claim or the commencement of any action or proceeding relating to a transaction contemplated by this Agreement.</w:t>
      </w:r>
    </w:p>
    <w:p>
      <w:pPr>
        <w:spacing w:after="0" w:line="200" w:lineRule="exact"/>
        <w:rPr>
          <w:sz w:val="20"/>
          <w:szCs w:val="20"/>
          <w:color w:val="auto"/>
        </w:rPr>
      </w:pPr>
    </w:p>
    <w:p>
      <w:pPr>
        <w:spacing w:after="0" w:line="39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3"/>
          <w:szCs w:val="13"/>
          <w:color w:val="auto"/>
        </w:rPr>
        <w:t>9243105</w:t>
      </w:r>
      <w:r>
        <w:rPr>
          <w:sz w:val="20"/>
          <w:szCs w:val="20"/>
          <w:color w:val="auto"/>
        </w:rPr>
        <w:tab/>
      </w: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both"/>
        <w:ind w:firstLine="1505"/>
        <w:spacing w:after="0" w:line="254" w:lineRule="auto"/>
        <w:tabs>
          <w:tab w:leader="none" w:pos="18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the foregoing indemnity is unavailable to an Indemnified Person or insufficient to hold such Indemnified Person harmless, then the Company shall contribute to the amount paid or payable by such Indemnified Person as a result of such losses, claims, damages or liabilities in such proportion as is appropriate to reflect not only the relative benefits received by the Company on the one hand and the Placement Agent on the other, but also the relative fault of the Company on the one hand and the Placement Agent on the other that resulted in such losses, claims, damages or liabilities, as well as any relevant equitable considerations. The amounts paid or payable by a party in respect of losses, claims, damages and liabilities referred to above shall be deemed to include any legal or other fees and expenses incurred in defending any litigation, proceeding or other action or claim. Notwithstanding the provisions hereof, the liable Placement Agent’s share of the liability hereunder shall not be in excess of the amount of fees actually received, or to be received, by the Placement Agent under this Agreement (excluding any amounts received as reimbursement of expenses incurred by the Placement Agent).</w:t>
      </w:r>
    </w:p>
    <w:p>
      <w:pPr>
        <w:spacing w:after="0" w:line="188" w:lineRule="exact"/>
        <w:rPr>
          <w:sz w:val="20"/>
          <w:szCs w:val="20"/>
          <w:color w:val="auto"/>
        </w:rPr>
      </w:pPr>
    </w:p>
    <w:p>
      <w:pPr>
        <w:jc w:val="both"/>
        <w:ind w:firstLine="1505"/>
        <w:spacing w:after="0" w:line="266" w:lineRule="auto"/>
        <w:tabs>
          <w:tab w:leader="none" w:pos="18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indemnification provisions shall remain in full force and effect whether or not the transaction contemplated by this Agreement is completed and shall survive the termination of this Agreement, and shall be in addition to any liability that the Company might otherwise have to any indemnified party under this Agreement or otherwise.</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ENGAGEMENT TERM</w:t>
      </w:r>
      <w:r>
        <w:rPr>
          <w:rFonts w:ascii="Times New Roman" w:cs="Times New Roman" w:eastAsia="Times New Roman" w:hAnsi="Times New Roman"/>
          <w:sz w:val="18"/>
          <w:szCs w:val="18"/>
          <w:color w:val="auto"/>
        </w:rPr>
        <w:t>. The Placement Agent’s engagement hereunder will be until the Closing Date. The date of termination of this Agreement is referred to herein as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In the event, however, in the course of the Placement Agent’s performance of due diligence it deems, it necessary to terminate the engagement, the Placement Agent may do so prior to the Termination Date. The Company may elect to terminate the engagement hereunder for any reason prior to the Termination Date but will remain responsible for fees pursuant to Section 3 hereof with respect to the Placement Agent Securities if sold in the Placement. Notwithstanding anything to the contrary contained herein, the provisions concerning the Company’s obligation to pay any fees actually earned pursuant to Section 3 hereof and the provisions concerning confidentiality, indemnification and contribution contained herein will survive any expiration or termination of this Agreement. If this Agreement is terminated prior to the completion of the Placement, all fees due to the Placement Agent shall be paid by the Company to the Placement Agent on or before the Termination Date (in the event such fees are earned or owed as of the Termination Date). The Placement Agent agrees not to use any confidential information concerning the Company provided to the Placement Agent by the Company for any purposes other than those contemplated under this Agreement.</w:t>
      </w:r>
    </w:p>
    <w:p>
      <w:pPr>
        <w:spacing w:after="0" w:line="194"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TAIL FEE</w:t>
      </w:r>
      <w:r>
        <w:rPr>
          <w:rFonts w:ascii="Times New Roman" w:cs="Times New Roman" w:eastAsia="Times New Roman" w:hAnsi="Times New Roman"/>
          <w:sz w:val="18"/>
          <w:szCs w:val="18"/>
          <w:color w:val="auto"/>
        </w:rPr>
        <w:t>. The Placement Agent shall be entitled to the compensation under Section 3 with respect to any public or private offering, financing of equity, equity-linked, convertible or other capital-raising activity (each, a “</w:t>
      </w:r>
      <w:r>
        <w:rPr>
          <w:rFonts w:ascii="Times New Roman" w:cs="Times New Roman" w:eastAsia="Times New Roman" w:hAnsi="Times New Roman"/>
          <w:sz w:val="18"/>
          <w:szCs w:val="18"/>
          <w:b w:val="1"/>
          <w:bCs w:val="1"/>
          <w:color w:val="auto"/>
        </w:rPr>
        <w:t>Tail Financing</w:t>
      </w:r>
      <w:r>
        <w:rPr>
          <w:rFonts w:ascii="Times New Roman" w:cs="Times New Roman" w:eastAsia="Times New Roman" w:hAnsi="Times New Roman"/>
          <w:sz w:val="18"/>
          <w:szCs w:val="18"/>
          <w:color w:val="auto"/>
        </w:rPr>
        <w:t>”) to the extent such financing or capital is provided to the Company by any of the investors actually introduced by the Placement Agent to the Company, but unknown to the Company prior to such introduction, during the term of this Agreement if such Tail Financing is consummated at any time prior to eighteen (18) months after the Closing Date. Within five (5) days of the earlier of the Closing and the Termination Date, the Placement Agent will provide to the Company a list of investors whom the Placement Agent has introduced to the Company in connection with the Placement. In accordance with FINRA Rule 5110(g)(5)(B), the Company will not be required to pay any cash fee in connection with any Tail Financing to the extent this Agreement or the engagement letter with the Representative is terminated by the Company for "Cause", which shall mean a material breach by the Placement Agent of this Agreement or a material failure by the Placement Agent to provide the services as contemplated by this Agreement.</w:t>
      </w:r>
    </w:p>
    <w:p>
      <w:pPr>
        <w:spacing w:after="0" w:line="18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PLACEMENT AGENT INFORMATION</w:t>
      </w:r>
      <w:r>
        <w:rPr>
          <w:rFonts w:ascii="Times New Roman" w:cs="Times New Roman" w:eastAsia="Times New Roman" w:hAnsi="Times New Roman"/>
          <w:sz w:val="18"/>
          <w:szCs w:val="18"/>
          <w:color w:val="auto"/>
        </w:rPr>
        <w:t>. The Company agrees that any information or advice rendered by the Placement Agent in connection with this engagement is for the confidential use of the Company only in their evaluation of the Placement and, except as otherwise required by law, the Company will not disclose or otherwise refer to the advice or information in any manner without each of the Placement Agent’s prior written consent.</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This Agreement does not create, and shall not be construed as creating rights enforceable by any person or entity not a party hereto, except those entitled hereto by virtue of the indemnification provisions hereof. The Company acknowledges and agrees that the Placement Agent are</w:t>
      </w:r>
    </w:p>
    <w:p>
      <w:pPr>
        <w:spacing w:after="0" w:line="39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3"/>
          <w:szCs w:val="13"/>
          <w:color w:val="auto"/>
        </w:rPr>
        <w:t>9243105</w:t>
      </w:r>
      <w:r>
        <w:rPr>
          <w:sz w:val="20"/>
          <w:szCs w:val="20"/>
          <w:color w:val="auto"/>
        </w:rPr>
        <w:tab/>
      </w: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not and shall not be construed as a fiduciary of the Company and shall have no duties or liabilities to the equity holders or the creditors of the Company or any other person by virtue of this Agreement or the retention of the Placement Agent hereunder, all of which are hereby expressly waived.</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obligations of the Placement Agent, and the closing of the sale of the Placement Agent Securities hereunder are subject to the accuracy, when made and on the Closing Date, of the representations and warranties on the part of the Company contained herein and in the Purchase Agreement, to the performance by the Company of its obligations hereunder, and to each of the following additional terms and conditions, except as otherwise disclosed to and acknowledged and waived by the Placement Agent:</w:t>
      </w:r>
    </w:p>
    <w:p>
      <w:pPr>
        <w:spacing w:after="0" w:line="180" w:lineRule="exact"/>
        <w:rPr>
          <w:sz w:val="20"/>
          <w:szCs w:val="20"/>
          <w:color w:val="auto"/>
        </w:rPr>
      </w:pPr>
    </w:p>
    <w:p>
      <w:pPr>
        <w:jc w:val="both"/>
        <w:ind w:firstLine="1505"/>
        <w:spacing w:after="0" w:line="266" w:lineRule="auto"/>
        <w:tabs>
          <w:tab w:leader="none" w:pos="18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corporate proceedings and other legal matters incident to the authorization, form, execution, delivery and validity of each of this Agreement, the Placement Agent Securities, and all other legal matters relating to this Agreement and the transactions contemplated hereby with respect to the Placement Agent Securities shall be reasonably satisfactory in all material respects to the Placement Agent.</w:t>
      </w:r>
    </w:p>
    <w:p>
      <w:pPr>
        <w:spacing w:after="0" w:line="202"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shall have received from outside counsel to the Company such counsel’s written opinion with respect to the Placement Agent Securities, addressed to the Placement Agent and the Purchasers and dated as of the Closing Date, in form and substance reasonably satisfactory to the Placement Agent.</w:t>
      </w:r>
    </w:p>
    <w:p>
      <w:pPr>
        <w:spacing w:after="0" w:line="175" w:lineRule="exact"/>
        <w:rPr>
          <w:rFonts w:ascii="Times New Roman" w:cs="Times New Roman" w:eastAsia="Times New Roman" w:hAnsi="Times New Roman"/>
          <w:sz w:val="18"/>
          <w:szCs w:val="18"/>
          <w:color w:val="auto"/>
        </w:rPr>
      </w:pPr>
    </w:p>
    <w:p>
      <w:pPr>
        <w:jc w:val="both"/>
        <w:ind w:firstLine="1505"/>
        <w:spacing w:after="0" w:line="256" w:lineRule="auto"/>
        <w:tabs>
          <w:tab w:leader="none" w:pos="18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 shall be registered under the Exchange Act and, as of the Closing Date, the Placement Agent Securities shall be listed and admitted and authorized for trading on the Trading Market or other applicable U.S. national exchange and satisfactory evidence of such action shall have been provided to the Placement Agent. The Company shall have taken no action designed to, or likely to have the effect of terminating the registration of the ADS under the Exchange Act or removing or suspending from trading the ADS from the Trading Market or other applicable U.S. national exchange, nor has the Company received any information suggesting that the Commission or the Trading Market or other U.S. applicable national exchange is contemplating terminating such registration or listing.</w:t>
      </w:r>
    </w:p>
    <w:p>
      <w:pPr>
        <w:spacing w:after="0" w:line="187" w:lineRule="exact"/>
        <w:rPr>
          <w:rFonts w:ascii="Times New Roman" w:cs="Times New Roman" w:eastAsia="Times New Roman" w:hAnsi="Times New Roman"/>
          <w:sz w:val="18"/>
          <w:szCs w:val="18"/>
          <w:color w:val="auto"/>
        </w:rPr>
      </w:pPr>
    </w:p>
    <w:p>
      <w:pPr>
        <w:jc w:val="both"/>
        <w:ind w:firstLine="1505"/>
        <w:spacing w:after="0" w:line="258" w:lineRule="auto"/>
        <w:tabs>
          <w:tab w:leader="none" w:pos="18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shall have been taken and no statute, rule, regulation or order shall have been enacted, adopted or issued by any governmental agency or body which would, as of the Closing Date, prevent the issuance or sale of the Placement Agent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Placement Agent Securities or materially and adversely affect or potentially and adversely affect the business or operations of the Company.</w:t>
      </w:r>
    </w:p>
    <w:p>
      <w:pPr>
        <w:spacing w:after="0" w:line="183" w:lineRule="exact"/>
        <w:rPr>
          <w:rFonts w:ascii="Times New Roman" w:cs="Times New Roman" w:eastAsia="Times New Roman" w:hAnsi="Times New Roman"/>
          <w:sz w:val="18"/>
          <w:szCs w:val="18"/>
          <w:color w:val="auto"/>
        </w:rPr>
      </w:pPr>
    </w:p>
    <w:p>
      <w:pPr>
        <w:jc w:val="both"/>
        <w:ind w:right="20" w:firstLine="1505"/>
        <w:spacing w:after="0" w:line="266" w:lineRule="auto"/>
        <w:tabs>
          <w:tab w:leader="none" w:pos="18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entered into a Purchase Agreement with each of the Purchasers of the Placement Agent Securities and such agreements shall be in full force and effect and shall contain representations, warranties and covenants of the Company as agreed upon between the Company and the Purchasers.</w:t>
      </w:r>
    </w:p>
    <w:p>
      <w:pPr>
        <w:spacing w:after="0" w:line="17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52"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have raised no objection to the fairness and reasonableness of the terms and arrangements of this Agreement.</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any of the conditions specified in this Section 10 shall not have been fulfilled when and as required by this Agreement, all obligations of the Placement Agent hereunder may be cancelled by the Placement Agent at, or at any time prior to, the Closing Date. Notice of such cancellation shall be given to the Company in writing or orally. Any such oral notice shall be confirmed promptly thereafter in writing.</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and construed in accordance with, the laws of the State of New York applicable to agreements made and to be performed entirely in such State.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w:t>
      </w:r>
    </w:p>
    <w:p>
      <w:pPr>
        <w:spacing w:after="0" w:line="39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3"/>
          <w:szCs w:val="13"/>
          <w:color w:val="auto"/>
        </w:rPr>
        <w:t>9243105</w:t>
      </w:r>
      <w:r>
        <w:rPr>
          <w:sz w:val="20"/>
          <w:szCs w:val="20"/>
          <w:color w:val="auto"/>
        </w:rPr>
        <w:tab/>
      </w: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t>or conduct in connection herewith is waived by each party. Any dispute arising under this Agreement may be brought into the courts of the State of New York or into the Federal Court located in New York, New York and, by execution and delivery of this Agreement, the Company and the Placement Agent hereby accept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this Agreement, then the prevailing party in such action or proceeding shall be reimbursed by the other party for its attorney's fees and other costs and expenses incurred with the investigation, preparation and prosecution of such action or proceeding.</w:t>
      </w:r>
    </w:p>
    <w:p>
      <w:pPr>
        <w:spacing w:after="0" w:line="18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ENTIRE AGREEMENT/MISCELLANEOUS</w:t>
      </w:r>
      <w:r>
        <w:rPr>
          <w:rFonts w:ascii="Times New Roman" w:cs="Times New Roman" w:eastAsia="Times New Roman" w:hAnsi="Times New Roman"/>
          <w:sz w:val="18"/>
          <w:szCs w:val="18"/>
          <w:color w:val="auto"/>
        </w:rPr>
        <w:t>. This Agreement embodies the entire agreement and understanding between the parties hereto,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the Placement Agent and the Company. The representations, warranties, agreements and covenants contained herein shall survive the Closing Date of the Placement and delivery of the Placement Agent Securities.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spacing w:after="0" w:line="19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U.S. internationally recognized air courier service, or (d) upon actual receipt by the party to whom such notice is required to be given. The address for such notices and communications shall be as set forth on the signature pages hereto.</w:t>
      </w:r>
    </w:p>
    <w:p>
      <w:pPr>
        <w:spacing w:after="0" w:line="18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PRESS ANNOUNCEMENTS</w:t>
      </w:r>
      <w:r>
        <w:rPr>
          <w:rFonts w:ascii="Times New Roman" w:cs="Times New Roman" w:eastAsia="Times New Roman" w:hAnsi="Times New Roman"/>
          <w:sz w:val="18"/>
          <w:szCs w:val="18"/>
          <w:color w:val="auto"/>
        </w:rPr>
        <w:t>. The Company agrees that the Placement Agent shall, on and after the Closing Date,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3"/>
          <w:szCs w:val="13"/>
          <w:color w:val="auto"/>
        </w:rPr>
        <w:t>9243105</w:t>
      </w:r>
      <w:r>
        <w:rPr>
          <w:sz w:val="20"/>
          <w:szCs w:val="20"/>
          <w:color w:val="auto"/>
        </w:rPr>
        <w:tab/>
      </w: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ind w:firstLine="749"/>
        <w:spacing w:after="0" w:line="282" w:lineRule="auto"/>
        <w:rPr>
          <w:sz w:val="20"/>
          <w:szCs w:val="20"/>
          <w:color w:val="auto"/>
        </w:rPr>
      </w:pPr>
      <w:r>
        <w:rPr>
          <w:rFonts w:ascii="Times New Roman" w:cs="Times New Roman" w:eastAsia="Times New Roman" w:hAnsi="Times New Roman"/>
          <w:sz w:val="18"/>
          <w:szCs w:val="18"/>
          <w:color w:val="auto"/>
        </w:rPr>
        <w:t>Please confirm that the foregoing correctly sets forth our agreement by signing and returning to the Placement Agents the enclosed copy of this Agreement.</w:t>
      </w:r>
    </w:p>
    <w:p>
      <w:pPr>
        <w:spacing w:after="0" w:line="21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2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A.G.P./ALLIANCE GLOBAL PARTNERS</w:t>
      </w:r>
    </w:p>
    <w:p>
      <w:pPr>
        <w:spacing w:after="0" w:line="200" w:lineRule="exact"/>
        <w:rPr>
          <w:sz w:val="20"/>
          <w:szCs w:val="20"/>
          <w:color w:val="auto"/>
        </w:rPr>
      </w:pPr>
    </w:p>
    <w:p>
      <w:pPr>
        <w:spacing w:after="0" w:line="351" w:lineRule="exact"/>
        <w:rPr>
          <w:sz w:val="20"/>
          <w:szCs w:val="20"/>
          <w:color w:val="auto"/>
        </w:rPr>
      </w:pPr>
    </w:p>
    <w:p>
      <w:pPr>
        <w:ind w:left="5400"/>
        <w:spacing w:after="0"/>
        <w:tabs>
          <w:tab w:leader="none" w:pos="6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Thomas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35560</wp:posOffset>
            </wp:positionV>
            <wp:extent cx="30435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43555" cy="8890"/>
                    </a:xfrm>
                    <a:prstGeom prst="rect">
                      <a:avLst/>
                    </a:prstGeom>
                    <a:noFill/>
                  </pic:spPr>
                </pic:pic>
              </a:graphicData>
            </a:graphic>
          </wp:anchor>
        </w:drawing>
      </w:r>
    </w:p>
    <w:p>
      <w:pPr>
        <w:spacing w:after="0" w:line="45" w:lineRule="exact"/>
        <w:rPr>
          <w:sz w:val="20"/>
          <w:szCs w:val="20"/>
          <w:color w:val="auto"/>
        </w:rPr>
      </w:pPr>
    </w:p>
    <w:p>
      <w:pPr>
        <w:ind w:left="540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Thomas Higgins</w:t>
      </w:r>
    </w:p>
    <w:p>
      <w:pPr>
        <w:spacing w:after="0" w:line="77" w:lineRule="exact"/>
        <w:rPr>
          <w:sz w:val="20"/>
          <w:szCs w:val="20"/>
          <w:color w:val="auto"/>
        </w:rPr>
      </w:pPr>
    </w:p>
    <w:p>
      <w:pPr>
        <w:ind w:left="540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Director</w:t>
      </w:r>
    </w:p>
    <w:p>
      <w:pPr>
        <w:spacing w:after="0" w:line="3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6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590 Madison Avenue 28</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Attn: Thomas Higgins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Email: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Placement Agency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3"/>
          <w:szCs w:val="13"/>
          <w:color w:val="auto"/>
        </w:rPr>
        <w:t>9243105</w:t>
      </w:r>
      <w:r>
        <w:rPr>
          <w:sz w:val="20"/>
          <w:szCs w:val="20"/>
          <w:color w:val="auto"/>
        </w:rPr>
        <w:tab/>
      </w: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7"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Accepted and Agreed to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XCHG LIMITED</w:t>
      </w:r>
    </w:p>
    <w:p>
      <w:pPr>
        <w:spacing w:after="0" w:line="200" w:lineRule="exact"/>
        <w:rPr>
          <w:sz w:val="20"/>
          <w:szCs w:val="20"/>
          <w:color w:val="auto"/>
        </w:rPr>
      </w:pPr>
    </w:p>
    <w:p>
      <w:pPr>
        <w:spacing w:after="0" w:line="351"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Yifei 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35560</wp:posOffset>
            </wp:positionV>
            <wp:extent cx="31286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Yifei Hou</w:t>
      </w:r>
    </w:p>
    <w:p>
      <w:pPr>
        <w:spacing w:after="0" w:line="77"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Director and Chief Executive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19121 Marketplace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2-Suite 2-145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Kyle, TX 78640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Placement Agency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3"/>
          <w:szCs w:val="13"/>
          <w:color w:val="auto"/>
        </w:rPr>
        <w:t>9243105</w:t>
      </w:r>
      <w:r>
        <w:rPr>
          <w:sz w:val="20"/>
          <w:szCs w:val="20"/>
          <w:color w:val="auto"/>
        </w:rPr>
        <w:tab/>
      </w: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SIDE LETTER</w:t>
      </w:r>
    </w:p>
    <w:p>
      <w:pPr>
        <w:spacing w:after="0" w:line="207"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This letter confirms the understanding and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made as of June 28, 2026, between XCHG Limited, an exempted company incorporated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A.G.P./Alliance Global Partners, as placement agent (the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The Company and the Placement Agent will be referred to individually as a “Party” and collectively as the “Parties.”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Placement Agent are parties to certain Placement Agency Agreement, dated as of June 25, 2026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which sets forth the Parties’ rights and obligations with respect to the transactions contemplated thereby;</w:t>
      </w:r>
    </w:p>
    <w:p>
      <w:pPr>
        <w:spacing w:after="0" w:line="155"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due consideration of the promises that the Parties have made to each other in the PAA and therewith, the Parties desire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 the PAA in the manner set forth herein;</w:t>
      </w:r>
    </w:p>
    <w:p>
      <w:pPr>
        <w:spacing w:after="0" w:line="15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NOW, THEREFORE, IN CONSIDERATION </w:t>
      </w:r>
      <w:r>
        <w:rPr>
          <w:rFonts w:ascii="Times New Roman" w:cs="Times New Roman" w:eastAsia="Times New Roman" w:hAnsi="Times New Roman"/>
          <w:sz w:val="18"/>
          <w:szCs w:val="18"/>
          <w:color w:val="auto"/>
        </w:rPr>
        <w:t>of the mutual covenants contained in this Agreement and the PAA, and for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adequacy of which are hereby acknowledged, the Company and the Placement Agent agree as follows. Capitalized terms used herein but not otherwise defined herein shall have the respective meanings assigned to such terms in the PAA.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SUPPLEMENTS</w:t>
      </w:r>
    </w:p>
    <w:p>
      <w:pPr>
        <w:spacing w:after="0" w:line="20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1.1 The sale of Securities to any purchaser will be evidenced by a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between the Company and such purchaser, in a form reasonably acceptable to the Company and the purchaser. Capitalized terms that are not otherwise defined herein or in the PAA have the meanings given to such terms in the Purchase Agreement. Any definition of “Closing” in the PAA which defines the closing of the purchase and sale of the Securities shall be amended and supplemented to include “the individual and collective reference to the closing of the sale of Securities on the initial Closing Date (the “</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and each subsequent closing on or before that date on which the completion of the sale of all Securities in the Offering (the “</w:t>
      </w:r>
      <w:r>
        <w:rPr>
          <w:rFonts w:ascii="Times New Roman" w:cs="Times New Roman" w:eastAsia="Times New Roman" w:hAnsi="Times New Roman"/>
          <w:sz w:val="18"/>
          <w:szCs w:val="18"/>
          <w:u w:val="single" w:color="auto"/>
          <w:color w:val="auto"/>
        </w:rPr>
        <w:t>Final Closing Date</w:t>
      </w:r>
      <w:r>
        <w:rPr>
          <w:rFonts w:ascii="Times New Roman" w:cs="Times New Roman" w:eastAsia="Times New Roman" w:hAnsi="Times New Roman"/>
          <w:sz w:val="18"/>
          <w:szCs w:val="18"/>
          <w:color w:val="auto"/>
        </w:rPr>
        <w:t>”) with one or more purchasers of the purchase and sale of the Securities pursuant to Section 6.”</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 The following Section 6 shall be added to the PAA:</w:t>
      </w:r>
    </w:p>
    <w:p>
      <w:pPr>
        <w:spacing w:after="0" w:line="225" w:lineRule="exact"/>
        <w:rPr>
          <w:sz w:val="20"/>
          <w:szCs w:val="20"/>
          <w:color w:val="auto"/>
        </w:rPr>
      </w:pPr>
    </w:p>
    <w:p>
      <w:pPr>
        <w:jc w:val="both"/>
        <w:ind w:left="760" w:firstLine="749"/>
        <w:spacing w:after="0" w:line="275"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Additional Allocation</w:t>
      </w:r>
      <w:r>
        <w:rPr>
          <w:rFonts w:ascii="Times New Roman" w:cs="Times New Roman" w:eastAsia="Times New Roman" w:hAnsi="Times New Roman"/>
          <w:sz w:val="17"/>
          <w:szCs w:val="17"/>
          <w:color w:val="auto"/>
        </w:rPr>
        <w:t>. The Company hereby acknowledges and agrees that upon the terms and subject to the conditions set forth herein, including the waiver of Section 4.11 of the Purchase Agreement, the Placement Agent has the right to allocate to a purchaser or purchasers, in one or more Closings (each, an “</w:t>
      </w:r>
      <w:r>
        <w:rPr>
          <w:rFonts w:ascii="Times New Roman" w:cs="Times New Roman" w:eastAsia="Times New Roman" w:hAnsi="Times New Roman"/>
          <w:sz w:val="17"/>
          <w:szCs w:val="17"/>
          <w:u w:val="single" w:color="auto"/>
          <w:color w:val="auto"/>
        </w:rPr>
        <w:t>Additional Closing</w:t>
      </w:r>
      <w:r>
        <w:rPr>
          <w:rFonts w:ascii="Times New Roman" w:cs="Times New Roman" w:eastAsia="Times New Roman" w:hAnsi="Times New Roman"/>
          <w:sz w:val="17"/>
          <w:szCs w:val="17"/>
          <w:color w:val="auto"/>
        </w:rPr>
        <w:t>”), exercisable in its sole discretion, in such amounts up to an additional aggregate amount of 1% of the Subscription Amount the Purchaser purchased at the Initial Closing (the “</w:t>
      </w:r>
      <w:r>
        <w:rPr>
          <w:rFonts w:ascii="Times New Roman" w:cs="Times New Roman" w:eastAsia="Times New Roman" w:hAnsi="Times New Roman"/>
          <w:sz w:val="17"/>
          <w:szCs w:val="17"/>
          <w:u w:val="single" w:color="auto"/>
          <w:color w:val="auto"/>
        </w:rPr>
        <w:t>Additional Allocation</w:t>
      </w:r>
      <w:r>
        <w:rPr>
          <w:rFonts w:ascii="Times New Roman" w:cs="Times New Roman" w:eastAsia="Times New Roman" w:hAnsi="Times New Roman"/>
          <w:sz w:val="17"/>
          <w:szCs w:val="17"/>
          <w:color w:val="auto"/>
        </w:rPr>
        <w:t>”) on or before the Final Closing Date, which is the 30 calendar day anniversary of the Initial Closing (the “</w:t>
      </w:r>
      <w:r>
        <w:rPr>
          <w:rFonts w:ascii="Times New Roman" w:cs="Times New Roman" w:eastAsia="Times New Roman" w:hAnsi="Times New Roman"/>
          <w:sz w:val="17"/>
          <w:szCs w:val="17"/>
          <w:u w:val="single" w:color="auto"/>
          <w:color w:val="auto"/>
        </w:rPr>
        <w:t>Additional Allocation Period</w:t>
      </w:r>
      <w:r>
        <w:rPr>
          <w:rFonts w:ascii="Times New Roman" w:cs="Times New Roman" w:eastAsia="Times New Roman" w:hAnsi="Times New Roman"/>
          <w:sz w:val="17"/>
          <w:szCs w:val="17"/>
          <w:color w:val="auto"/>
        </w:rPr>
        <w:t>”) at the Per ADS Purchase Price by delivery of one or more written notices (each, an “</w:t>
      </w:r>
      <w:r>
        <w:rPr>
          <w:rFonts w:ascii="Times New Roman" w:cs="Times New Roman" w:eastAsia="Times New Roman" w:hAnsi="Times New Roman"/>
          <w:sz w:val="17"/>
          <w:szCs w:val="17"/>
          <w:u w:val="single" w:color="auto"/>
          <w:color w:val="auto"/>
        </w:rPr>
        <w:t>Additional Allocation Election Notice</w:t>
      </w:r>
      <w:r>
        <w:rPr>
          <w:rFonts w:ascii="Times New Roman" w:cs="Times New Roman" w:eastAsia="Times New Roman" w:hAnsi="Times New Roman"/>
          <w:sz w:val="17"/>
          <w:szCs w:val="17"/>
          <w:color w:val="auto"/>
        </w:rPr>
        <w:t>”) to the Company during such Additional Allocation Period. Each Additional Closing shall occur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7"/>
          <w:szCs w:val="17"/>
          <w:color w:val="auto"/>
        </w:rPr>
        <w:t>) Trading Day after such applicable Additional Allocation Election Notice.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2.1 The Parties explicitly acknowledge and agree that the terms of the PAA shall be amended and supplemented to reflect the matters set out above and that by countersigning this Agreement, the PAA shall be so amended and supplemented. This Agreement shall be considered an addendum to the PAA for all relevant purposes, reflecting legally binding commitments entered into by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ind w:firstLine="749"/>
        <w:spacing w:after="0" w:line="282" w:lineRule="auto"/>
        <w:rPr>
          <w:sz w:val="20"/>
          <w:szCs w:val="20"/>
          <w:color w:val="auto"/>
        </w:rPr>
      </w:pPr>
      <w:r>
        <w:rPr>
          <w:rFonts w:ascii="Times New Roman" w:cs="Times New Roman" w:eastAsia="Times New Roman" w:hAnsi="Times New Roman"/>
          <w:sz w:val="18"/>
          <w:szCs w:val="18"/>
          <w:color w:val="auto"/>
        </w:rPr>
        <w:t>2.2 This Agreement may be executed in several counterparts each of which will be deemed to be an original and together will constitute one and the same agreement.</w:t>
      </w:r>
    </w:p>
    <w:p>
      <w:pPr>
        <w:spacing w:after="0" w:line="16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2.3 To the extent of any inconsistency between the provisions referred to in this Agreement and the relevant provisions of the PAA, this Agreement shall prevail.</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2.4 This Agreement is subject to the same governing law and terms regarding jurisdiction as are set out in the PAA.</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ind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signatories as of the date first indicated above.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XCHG LIMITED</w:t>
            </w:r>
          </w:p>
        </w:tc>
        <w:tc>
          <w:tcPr>
            <w:tcW w:w="6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Address for Notice:</w:t>
            </w:r>
          </w:p>
        </w:tc>
        <w:tc>
          <w:tcPr>
            <w:tcW w:w="0" w:type="dxa"/>
            <w:vAlign w:val="bottom"/>
          </w:tcPr>
          <w:p>
            <w:pPr>
              <w:spacing w:after="0"/>
              <w:rPr>
                <w:sz w:val="1"/>
                <w:szCs w:val="1"/>
                <w:color w:val="auto"/>
              </w:rPr>
            </w:pPr>
          </w:p>
        </w:tc>
      </w:tr>
      <w:tr>
        <w:trPr>
          <w:trHeight w:val="630"/>
        </w:trPr>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XCharge Europe GmbH, Heselstücken 18,</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6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22453 Hamburg, Germany</w:t>
            </w:r>
          </w:p>
        </w:tc>
        <w:tc>
          <w:tcPr>
            <w:tcW w:w="0" w:type="dxa"/>
            <w:vAlign w:val="bottom"/>
          </w:tcPr>
          <w:p>
            <w:pPr>
              <w:spacing w:after="0"/>
              <w:rPr>
                <w:sz w:val="1"/>
                <w:szCs w:val="1"/>
                <w:color w:val="auto"/>
              </w:rPr>
            </w:pPr>
          </w:p>
        </w:tc>
      </w:tr>
      <w:tr>
        <w:trPr>
          <w:trHeight w:val="41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spacing w:after="0"/>
              <w:rPr>
                <w:sz w:val="24"/>
                <w:szCs w:val="24"/>
                <w:color w:val="auto"/>
              </w:rPr>
            </w:pPr>
          </w:p>
        </w:tc>
        <w:tc>
          <w:tcPr>
            <w:tcW w:w="6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c/o</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XCharge Energy USA Inc, 19121 Marketplace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Avenue,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220" w:type="dxa"/>
            <w:vAlign w:val="bottom"/>
          </w:tcPr>
          <w:p>
            <w:pPr>
              <w:ind w:left="2720"/>
              <w:spacing w:after="0"/>
              <w:rPr>
                <w:sz w:val="20"/>
                <w:szCs w:val="20"/>
                <w:color w:val="auto"/>
              </w:rPr>
            </w:pPr>
            <w:r>
              <w:rPr>
                <w:rFonts w:ascii="Times New Roman" w:cs="Times New Roman" w:eastAsia="Times New Roman" w:hAnsi="Times New Roman"/>
                <w:sz w:val="18"/>
                <w:szCs w:val="18"/>
                <w:color w:val="auto"/>
                <w:w w:val="99"/>
              </w:rPr>
              <w:t>Building 2-Suite 2-145, Kyle, TX 78640, United</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 Yifei Hou</w:t>
            </w:r>
          </w:p>
        </w:tc>
        <w:tc>
          <w:tcPr>
            <w:tcW w:w="6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States</w:t>
            </w:r>
          </w:p>
        </w:tc>
        <w:tc>
          <w:tcPr>
            <w:tcW w:w="0" w:type="dxa"/>
            <w:vAlign w:val="bottom"/>
          </w:tcPr>
          <w:p>
            <w:pPr>
              <w:spacing w:after="0"/>
              <w:rPr>
                <w:sz w:val="1"/>
                <w:szCs w:val="1"/>
                <w:color w:val="auto"/>
              </w:rPr>
            </w:pPr>
          </w:p>
        </w:tc>
      </w:tr>
      <w:tr>
        <w:trPr>
          <w:trHeight w:val="221"/>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3"/>
              </w:rPr>
              <w:t>Name:</w:t>
            </w:r>
          </w:p>
        </w:tc>
        <w:tc>
          <w:tcPr>
            <w:tcW w:w="4400" w:type="dxa"/>
            <w:vAlign w:val="bottom"/>
            <w:tcBorders>
              <w:bottom w:val="single" w:sz="8" w:color="auto"/>
            </w:tcBorders>
            <w:gridSpan w:val="2"/>
            <w:vMerge w:val="continue"/>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2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Yifei Hou</w:t>
            </w:r>
          </w:p>
        </w:tc>
        <w:tc>
          <w:tcPr>
            <w:tcW w:w="6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Co-Chief Executive Officer</w:t>
            </w: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A.G.P./ALLIANCE GLOBAL PARTNERS</w:t>
      </w: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8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Thomas Higgins</w:t>
            </w:r>
          </w:p>
        </w:tc>
        <w:tc>
          <w:tcPr>
            <w:tcW w:w="0" w:type="dxa"/>
            <w:vAlign w:val="bottom"/>
          </w:tcPr>
          <w:p>
            <w:pPr>
              <w:spacing w:after="0"/>
              <w:rPr>
                <w:sz w:val="1"/>
                <w:szCs w:val="1"/>
                <w:color w:val="auto"/>
              </w:rPr>
            </w:pPr>
          </w:p>
        </w:tc>
      </w:tr>
      <w:tr>
        <w:trPr>
          <w:trHeight w:val="27"/>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8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40" w:type="dxa"/>
            <w:vAlign w:val="bottom"/>
            <w:gridSpan w:val="2"/>
            <w:vMerge w:val="continue"/>
          </w:tcPr>
          <w:p>
            <w:pPr>
              <w:spacing w:after="0"/>
              <w:rPr>
                <w:sz w:val="20"/>
                <w:szCs w:val="20"/>
                <w:color w:val="auto"/>
              </w:rPr>
            </w:pPr>
          </w:p>
        </w:tc>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Higgins</w:t>
            </w:r>
          </w:p>
        </w:tc>
        <w:tc>
          <w:tcPr>
            <w:tcW w:w="0" w:type="dxa"/>
            <w:vAlign w:val="bottom"/>
          </w:tcPr>
          <w:p>
            <w:pPr>
              <w:spacing w:after="0"/>
              <w:rPr>
                <w:sz w:val="1"/>
                <w:szCs w:val="1"/>
                <w:color w:val="auto"/>
              </w:rPr>
            </w:pPr>
          </w:p>
        </w:tc>
      </w:tr>
      <w:tr>
        <w:trPr>
          <w:trHeight w:val="270"/>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500"/>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notice:</w:t>
            </w:r>
          </w:p>
        </w:tc>
        <w:tc>
          <w:tcPr>
            <w:tcW w:w="8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590 Madison Avenue 28</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tc>
        <w:tc>
          <w:tcPr>
            <w:tcW w:w="8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8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Thomas Higgins</w:t>
            </w:r>
          </w:p>
        </w:tc>
        <w:tc>
          <w:tcPr>
            <w:tcW w:w="8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 * ]</w:t>
            </w:r>
          </w:p>
        </w:tc>
        <w:tc>
          <w:tcPr>
            <w:tcW w:w="8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857250" cy="814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color w:val="auto"/>
        </w:rPr>
        <w:t>Our ref</w:t>
      </w:r>
      <w:r>
        <w:rPr>
          <w:sz w:val="20"/>
          <w:szCs w:val="20"/>
          <w:color w:val="auto"/>
        </w:rPr>
        <w:tab/>
      </w:r>
      <w:r>
        <w:rPr>
          <w:rFonts w:ascii="Arial" w:cs="Arial" w:eastAsia="Arial" w:hAnsi="Arial"/>
          <w:sz w:val="18"/>
          <w:szCs w:val="18"/>
          <w:color w:val="auto"/>
        </w:rPr>
        <w:t>JVZ/816789-000001/85639359v2</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XCHG Limited</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ICS Corporate Services (Cayman) Limited</w:t>
      </w:r>
    </w:p>
    <w:p>
      <w:pPr>
        <w:spacing w:after="0" w:line="237" w:lineRule="auto"/>
        <w:rPr>
          <w:sz w:val="20"/>
          <w:szCs w:val="20"/>
          <w:color w:val="auto"/>
        </w:rPr>
      </w:pPr>
      <w:r>
        <w:rPr>
          <w:rFonts w:ascii="Arial" w:cs="Arial" w:eastAsia="Arial" w:hAnsi="Arial"/>
          <w:sz w:val="19"/>
          <w:szCs w:val="19"/>
          <w:color w:val="auto"/>
        </w:rPr>
        <w:t>Palm Grove Unit 4, 265 Smith Road, George Town</w:t>
      </w:r>
    </w:p>
    <w:p>
      <w:pPr>
        <w:spacing w:after="0" w:line="237" w:lineRule="auto"/>
        <w:rPr>
          <w:sz w:val="20"/>
          <w:szCs w:val="20"/>
          <w:color w:val="auto"/>
        </w:rPr>
      </w:pPr>
      <w:r>
        <w:rPr>
          <w:rFonts w:ascii="Arial" w:cs="Arial" w:eastAsia="Arial" w:hAnsi="Arial"/>
          <w:sz w:val="19"/>
          <w:szCs w:val="19"/>
          <w:color w:val="auto"/>
        </w:rPr>
        <w:t>P.O. Box 52A Edgewater Way, #1653, Grand Cayman KY1-9006</w:t>
      </w:r>
    </w:p>
    <w:p>
      <w:pPr>
        <w:spacing w:after="0"/>
        <w:rPr>
          <w:sz w:val="20"/>
          <w:szCs w:val="20"/>
          <w:color w:val="auto"/>
        </w:rPr>
      </w:pPr>
      <w:r>
        <w:rPr>
          <w:rFonts w:ascii="Arial" w:cs="Arial" w:eastAsia="Arial" w:hAnsi="Arial"/>
          <w:sz w:val="19"/>
          <w:szCs w:val="19"/>
          <w:color w:val="auto"/>
        </w:rPr>
        <w:t>Cayman Islands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29 June 2026</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XCHG Limited</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We have acted as Cayman Islands legal advisers to XCHG Limited (the "</w:t>
      </w:r>
      <w:r>
        <w:rPr>
          <w:rFonts w:ascii="Arial" w:cs="Arial" w:eastAsia="Arial" w:hAnsi="Arial"/>
          <w:sz w:val="19"/>
          <w:szCs w:val="19"/>
          <w:b w:val="1"/>
          <w:bCs w:val="1"/>
          <w:color w:val="auto"/>
        </w:rPr>
        <w:t>Company</w:t>
      </w:r>
      <w:r>
        <w:rPr>
          <w:rFonts w:ascii="Arial" w:cs="Arial" w:eastAsia="Arial" w:hAnsi="Arial"/>
          <w:sz w:val="19"/>
          <w:szCs w:val="19"/>
          <w:color w:val="auto"/>
        </w:rPr>
        <w:t>") in connection with the Company’s registration statement on Form F-3, including all amendments or supplements thereto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and declared effective on 29 January 2026 under the U.S. Securities Act of 1933, as amended to date, the base prospectus included therein and the prospectus supplement dated 25 June 2026 (the “</w:t>
      </w:r>
      <w:r>
        <w:rPr>
          <w:rFonts w:ascii="Arial" w:cs="Arial" w:eastAsia="Arial" w:hAnsi="Arial"/>
          <w:sz w:val="19"/>
          <w:szCs w:val="19"/>
          <w:b w:val="1"/>
          <w:bCs w:val="1"/>
          <w:color w:val="auto"/>
        </w:rPr>
        <w:t>Prospectus</w:t>
      </w:r>
      <w:r>
        <w:rPr>
          <w:rFonts w:ascii="Arial" w:cs="Arial" w:eastAsia="Arial" w:hAnsi="Arial"/>
          <w:sz w:val="19"/>
          <w:szCs w:val="19"/>
          <w:color w:val="auto"/>
        </w:rPr>
        <w:t xml:space="preserve"> </w:t>
      </w:r>
      <w:r>
        <w:rPr>
          <w:rFonts w:ascii="Arial" w:cs="Arial" w:eastAsia="Arial" w:hAnsi="Arial"/>
          <w:sz w:val="19"/>
          <w:szCs w:val="19"/>
          <w:b w:val="1"/>
          <w:bCs w:val="1"/>
          <w:color w:val="auto"/>
        </w:rPr>
        <w:t>Supplement</w:t>
      </w:r>
      <w:r>
        <w:rPr>
          <w:rFonts w:ascii="Arial" w:cs="Arial" w:eastAsia="Arial" w:hAnsi="Arial"/>
          <w:sz w:val="19"/>
          <w:szCs w:val="19"/>
          <w:color w:val="auto"/>
        </w:rPr>
        <w:t>”) relating to the sale of American depositary shares (the "</w:t>
      </w:r>
      <w:r>
        <w:rPr>
          <w:rFonts w:ascii="Arial" w:cs="Arial" w:eastAsia="Arial" w:hAnsi="Arial"/>
          <w:sz w:val="19"/>
          <w:szCs w:val="19"/>
          <w:b w:val="1"/>
          <w:bCs w:val="1"/>
          <w:color w:val="auto"/>
        </w:rPr>
        <w:t>ADSs</w:t>
      </w:r>
      <w:r>
        <w:rPr>
          <w:rFonts w:ascii="Arial" w:cs="Arial" w:eastAsia="Arial" w:hAnsi="Arial"/>
          <w:sz w:val="19"/>
          <w:szCs w:val="19"/>
          <w:color w:val="auto"/>
        </w:rPr>
        <w:t>") representing the Company's class A ordinary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par value US$0.00001 each (the "</w:t>
      </w:r>
      <w:r>
        <w:rPr>
          <w:rFonts w:ascii="Arial" w:cs="Arial" w:eastAsia="Arial" w:hAnsi="Arial"/>
          <w:sz w:val="19"/>
          <w:szCs w:val="19"/>
          <w:b w:val="1"/>
          <w:bCs w:val="1"/>
          <w:color w:val="auto"/>
        </w:rPr>
        <w:t>Shares</w:t>
      </w:r>
      <w:r>
        <w:rPr>
          <w:rFonts w:ascii="Arial" w:cs="Arial" w:eastAsia="Arial" w:hAnsi="Arial"/>
          <w:sz w:val="19"/>
          <w:szCs w:val="19"/>
          <w:color w:val="auto"/>
        </w:rPr>
        <w:t>") by the Company in accordance with the Securities Purchase Agreement dated 25 June 2026 (the “</w:t>
      </w:r>
      <w:r>
        <w:rPr>
          <w:rFonts w:ascii="Arial" w:cs="Arial" w:eastAsia="Arial" w:hAnsi="Arial"/>
          <w:sz w:val="19"/>
          <w:szCs w:val="19"/>
          <w:b w:val="1"/>
          <w:bCs w:val="1"/>
          <w:color w:val="auto"/>
        </w:rPr>
        <w:t>Sales Agreement</w:t>
      </w:r>
      <w:r>
        <w:rPr>
          <w:rFonts w:ascii="Arial" w:cs="Arial" w:eastAsia="Arial" w:hAnsi="Arial"/>
          <w:sz w:val="19"/>
          <w:szCs w:val="19"/>
          <w:color w:val="auto"/>
        </w:rPr>
        <w:t>").</w:t>
      </w:r>
    </w:p>
    <w:p>
      <w:pPr>
        <w:spacing w:after="0" w:line="65" w:lineRule="exact"/>
        <w:rPr>
          <w:sz w:val="20"/>
          <w:szCs w:val="20"/>
          <w:color w:val="auto"/>
        </w:rPr>
      </w:pPr>
    </w:p>
    <w:p>
      <w:pPr>
        <w:jc w:val="both"/>
        <w:ind w:right="20"/>
        <w:spacing w:after="0" w:line="270" w:lineRule="auto"/>
        <w:rPr>
          <w:sz w:val="20"/>
          <w:szCs w:val="20"/>
          <w:color w:val="auto"/>
        </w:rPr>
      </w:pPr>
      <w:r>
        <w:rPr>
          <w:rFonts w:ascii="Arial" w:cs="Arial" w:eastAsia="Arial" w:hAnsi="Arial"/>
          <w:sz w:val="19"/>
          <w:szCs w:val="19"/>
          <w:color w:val="auto"/>
        </w:rPr>
        <w:t>We are furnishing this opinion and consent as Exhibits 5.1 and 23.1 to the Report of Foreign Private Issuer on Form 6-K to be filed by the Company relating to the Sales Agreement, which Report shall be incorporated by reference into the Registration Statement.</w:t>
      </w:r>
    </w:p>
    <w:p>
      <w:pPr>
        <w:spacing w:after="0" w:line="48" w:lineRule="exact"/>
        <w:rPr>
          <w:sz w:val="20"/>
          <w:szCs w:val="20"/>
          <w:color w:val="auto"/>
        </w:rPr>
      </w:pPr>
    </w:p>
    <w:p>
      <w:pPr>
        <w:ind w:left="760" w:hanging="752"/>
        <w:spacing w:after="0"/>
        <w:tabs>
          <w:tab w:leader="none" w:pos="760" w:val="left"/>
        </w:tabs>
        <w:numPr>
          <w:ilvl w:val="0"/>
          <w:numId w:val="6"/>
        </w:numPr>
        <w:rPr>
          <w:rFonts w:ascii="Arial" w:cs="Arial" w:eastAsia="Arial" w:hAnsi="Arial"/>
          <w:sz w:val="20"/>
          <w:szCs w:val="20"/>
          <w:b w:val="1"/>
          <w:bCs w:val="1"/>
          <w:color w:val="auto"/>
        </w:rPr>
      </w:pPr>
      <w:r>
        <w:rPr>
          <w:rFonts w:ascii="Arial" w:cs="Arial" w:eastAsia="Arial" w:hAnsi="Arial"/>
          <w:sz w:val="19"/>
          <w:szCs w:val="19"/>
          <w:b w:val="1"/>
          <w:bCs w:val="1"/>
          <w:color w:val="auto"/>
        </w:rPr>
        <w:t>Documents Reviewed</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For the purposes of this opinion, we have reviewed only originals, copies or final drafts of the following documents:</w:t>
      </w:r>
    </w:p>
    <w:p>
      <w:pPr>
        <w:spacing w:after="0" w:line="106" w:lineRule="exact"/>
        <w:rPr>
          <w:sz w:val="20"/>
          <w:szCs w:val="20"/>
          <w:color w:val="auto"/>
        </w:rPr>
      </w:pPr>
    </w:p>
    <w:p>
      <w:pPr>
        <w:jc w:val="both"/>
        <w:ind w:left="760" w:right="20" w:hanging="748"/>
        <w:spacing w:after="0" w:line="270" w:lineRule="auto"/>
        <w:tabs>
          <w:tab w:leader="none" w:pos="74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The certificate of incorporation of the Company dated 16 December 2021 and the certificate of incorporation on change of name dated 10 January 2022 issued by the Registrar of Companies.</w:t>
      </w:r>
    </w:p>
    <w:p>
      <w:pPr>
        <w:spacing w:after="0" w:line="48" w:lineRule="exact"/>
        <w:rPr>
          <w:sz w:val="20"/>
          <w:szCs w:val="20"/>
          <w:color w:val="auto"/>
        </w:rPr>
      </w:pPr>
    </w:p>
    <w:p>
      <w:pPr>
        <w:jc w:val="both"/>
        <w:ind w:left="760" w:hanging="748"/>
        <w:spacing w:after="0" w:line="259" w:lineRule="auto"/>
        <w:tabs>
          <w:tab w:leader="none" w:pos="74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The third amended and restated memorandum and articles of association of the Company adopted by a special resolution passed on 22 July 2024 and effective immediately prior to the completion of the Company’s initial public offering of ADSs representing its Shares (the "</w:t>
      </w:r>
      <w:r>
        <w:rPr>
          <w:rFonts w:ascii="Arial" w:cs="Arial" w:eastAsia="Arial" w:hAnsi="Arial"/>
          <w:sz w:val="19"/>
          <w:szCs w:val="19"/>
          <w:b w:val="1"/>
          <w:bCs w:val="1"/>
          <w:color w:val="auto"/>
        </w:rPr>
        <w:t>Memorandum and Articles</w:t>
      </w:r>
      <w:r>
        <w:rPr>
          <w:rFonts w:ascii="Arial" w:cs="Arial" w:eastAsia="Arial" w:hAnsi="Arial"/>
          <w:sz w:val="19"/>
          <w:szCs w:val="19"/>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JVZ/816789-000001/86945138v1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1459865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5151755" cy="11055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51755" cy="110553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8"/>
          <w:szCs w:val="18"/>
          <w:color w:val="auto"/>
        </w:rPr>
        <w:t>The written resolutions of the board of directors of the Company dated 25 June 2026 (the "</w:t>
      </w:r>
      <w:r>
        <w:rPr>
          <w:rFonts w:ascii="Arial" w:cs="Arial" w:eastAsia="Arial" w:hAnsi="Arial"/>
          <w:sz w:val="18"/>
          <w:szCs w:val="18"/>
          <w:b w:val="1"/>
          <w:bCs w:val="1"/>
          <w:color w:val="auto"/>
        </w:rPr>
        <w:t>Resolutions</w:t>
      </w:r>
      <w:r>
        <w:rPr>
          <w:rFonts w:ascii="Arial" w:cs="Arial" w:eastAsia="Arial" w:hAnsi="Arial"/>
          <w:sz w:val="18"/>
          <w:szCs w:val="18"/>
          <w:color w:val="auto"/>
        </w:rPr>
        <w:t>").</w:t>
      </w:r>
    </w:p>
    <w:p>
      <w:pPr>
        <w:spacing w:after="0" w:line="106" w:lineRule="exact"/>
        <w:rPr>
          <w:sz w:val="20"/>
          <w:szCs w:val="20"/>
          <w:color w:val="auto"/>
        </w:rPr>
      </w:pPr>
    </w:p>
    <w:p>
      <w:pPr>
        <w:ind w:left="760" w:hanging="748"/>
        <w:spacing w:after="0" w:line="281" w:lineRule="auto"/>
        <w:tabs>
          <w:tab w:leader="none" w:pos="74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9"/>
          <w:szCs w:val="19"/>
          <w:color w:val="auto"/>
        </w:rPr>
        <w:t>A certificate of good standing dated 26 June 2026, issued by the Registrar of Companies in the Cayman Islands (the "</w:t>
      </w:r>
      <w:r>
        <w:rPr>
          <w:rFonts w:ascii="Arial" w:cs="Arial" w:eastAsia="Arial" w:hAnsi="Arial"/>
          <w:sz w:val="19"/>
          <w:szCs w:val="19"/>
          <w:b w:val="1"/>
          <w:bCs w:val="1"/>
          <w:color w:val="auto"/>
        </w:rPr>
        <w:t>Certificate of Good Standing</w:t>
      </w:r>
      <w:r>
        <w:rPr>
          <w:rFonts w:ascii="Arial" w:cs="Arial" w:eastAsia="Arial" w:hAnsi="Arial"/>
          <w:sz w:val="19"/>
          <w:szCs w:val="19"/>
          <w:color w:val="auto"/>
        </w:rPr>
        <w:t>").</w:t>
      </w:r>
    </w:p>
    <w:p>
      <w:pPr>
        <w:spacing w:after="0" w:line="28"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8"/>
          <w:szCs w:val="18"/>
          <w:color w:val="auto"/>
        </w:rPr>
        <w:t>A certificate from a director of the Company, a copy of which is attached hereto (the "</w:t>
      </w:r>
      <w:r>
        <w:rPr>
          <w:rFonts w:ascii="Arial" w:cs="Arial" w:eastAsia="Arial" w:hAnsi="Arial"/>
          <w:sz w:val="18"/>
          <w:szCs w:val="18"/>
          <w:b w:val="1"/>
          <w:bCs w:val="1"/>
          <w:color w:val="auto"/>
        </w:rPr>
        <w:t>Director's Certificate</w:t>
      </w:r>
      <w:r>
        <w:rPr>
          <w:rFonts w:ascii="Arial" w:cs="Arial" w:eastAsia="Arial" w:hAnsi="Arial"/>
          <w:sz w:val="18"/>
          <w:szCs w:val="18"/>
          <w:color w:val="auto"/>
        </w:rPr>
        <w:t>").</w:t>
      </w:r>
    </w:p>
    <w:p>
      <w:pPr>
        <w:spacing w:after="0" w:line="10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8"/>
          <w:szCs w:val="18"/>
          <w:color w:val="auto"/>
        </w:rPr>
        <w:t>The Registration Statement.</w:t>
      </w:r>
    </w:p>
    <w:p>
      <w:pPr>
        <w:spacing w:after="0" w:line="10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8"/>
          <w:szCs w:val="18"/>
          <w:color w:val="auto"/>
        </w:rPr>
        <w:t>The Prospectus Supplement.</w:t>
      </w:r>
    </w:p>
    <w:p>
      <w:pPr>
        <w:spacing w:after="0" w:line="10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1.8</w:t>
      </w:r>
      <w:r>
        <w:rPr>
          <w:sz w:val="20"/>
          <w:szCs w:val="20"/>
          <w:color w:val="auto"/>
        </w:rPr>
        <w:tab/>
      </w:r>
      <w:r>
        <w:rPr>
          <w:rFonts w:ascii="Arial" w:cs="Arial" w:eastAsia="Arial" w:hAnsi="Arial"/>
          <w:sz w:val="18"/>
          <w:szCs w:val="18"/>
          <w:color w:val="auto"/>
        </w:rPr>
        <w:t>The Sales Agreement.</w:t>
      </w:r>
    </w:p>
    <w:p>
      <w:pPr>
        <w:spacing w:after="0" w:line="95" w:lineRule="exact"/>
        <w:rPr>
          <w:sz w:val="20"/>
          <w:szCs w:val="20"/>
          <w:color w:val="auto"/>
        </w:rPr>
      </w:pPr>
    </w:p>
    <w:p>
      <w:pPr>
        <w:ind w:left="760" w:hanging="752"/>
        <w:spacing w:after="0"/>
        <w:tabs>
          <w:tab w:leader="none" w:pos="76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Assumptions</w:t>
      </w:r>
    </w:p>
    <w:p>
      <w:pPr>
        <w:spacing w:after="0" w:line="10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spacing w:after="0" w:line="73" w:lineRule="exact"/>
        <w:rPr>
          <w:sz w:val="20"/>
          <w:szCs w:val="20"/>
          <w:color w:val="auto"/>
        </w:rPr>
      </w:pPr>
    </w:p>
    <w:p>
      <w:pPr>
        <w:jc w:val="both"/>
        <w:ind w:left="760" w:right="20" w:hanging="748"/>
        <w:spacing w:after="0" w:line="270" w:lineRule="auto"/>
        <w:tabs>
          <w:tab w:leader="none" w:pos="74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Copies of documents, conformed copies or drafts of documents provided to us are true and complete copies of, or in the final forms of, the originals.</w:t>
      </w:r>
    </w:p>
    <w:p>
      <w:pPr>
        <w:spacing w:after="0" w:line="48"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8"/>
          <w:szCs w:val="18"/>
          <w:color w:val="auto"/>
        </w:rPr>
        <w:t>All signatures, initials and seals are genuine.</w:t>
      </w:r>
    </w:p>
    <w:p>
      <w:pPr>
        <w:spacing w:after="0" w:line="106"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color w:val="auto"/>
        </w:rPr>
        <w:t>There is nothing contained in the minute book or corporate records of the Company (which we have not inspected) which would or might affect the opinions set out below.</w:t>
      </w:r>
    </w:p>
    <w:p>
      <w:pPr>
        <w:spacing w:after="0" w:line="48"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9"/>
          <w:szCs w:val="19"/>
          <w:color w:val="auto"/>
        </w:rPr>
        <w:t>There is nothing under any law (other than the law of the Cayman Islands), which would or might affect the opinions set out below.</w:t>
      </w:r>
    </w:p>
    <w:p>
      <w:pPr>
        <w:spacing w:after="0" w:line="38" w:lineRule="exact"/>
        <w:rPr>
          <w:sz w:val="20"/>
          <w:szCs w:val="20"/>
          <w:color w:val="auto"/>
        </w:rPr>
      </w:pPr>
    </w:p>
    <w:p>
      <w:pPr>
        <w:ind w:left="760" w:hanging="752"/>
        <w:spacing w:after="0"/>
        <w:tabs>
          <w:tab w:leader="none" w:pos="76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Opinion</w:t>
      </w:r>
    </w:p>
    <w:p>
      <w:pPr>
        <w:spacing w:after="0" w:line="104" w:lineRule="exact"/>
        <w:rPr>
          <w:sz w:val="20"/>
          <w:szCs w:val="20"/>
          <w:color w:val="auto"/>
        </w:rPr>
      </w:pPr>
    </w:p>
    <w:p>
      <w:pPr>
        <w:ind w:right="180"/>
        <w:spacing w:after="0" w:line="270" w:lineRule="auto"/>
        <w:rPr>
          <w:sz w:val="20"/>
          <w:szCs w:val="20"/>
          <w:color w:val="auto"/>
        </w:rPr>
      </w:pPr>
      <w:r>
        <w:rPr>
          <w:rFonts w:ascii="Arial" w:cs="Arial" w:eastAsia="Arial" w:hAnsi="Arial"/>
          <w:sz w:val="19"/>
          <w:szCs w:val="19"/>
          <w:color w:val="auto"/>
        </w:rPr>
        <w:t>Based upon the foregoing and subject to the qualifications set out below and having regard to such legal considerations as we deem relevant, we are of the opinion that:</w:t>
      </w:r>
    </w:p>
    <w:p>
      <w:pPr>
        <w:spacing w:after="0" w:line="48"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The Company has been duly incorporated as an exempted company with limited liability and is validly existing and in good standing with the Registrar of Companies under the laws of the Cayman Islands.</w:t>
      </w:r>
    </w:p>
    <w:p>
      <w:pPr>
        <w:spacing w:after="0" w:line="48"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The authorised share capital of the Company is US$50,000 divided into 5,000,000,000 ordinary shares of par value of US$0.00001 each, comprising (a) 4,258,745,553 Class A Ordinary Shares of par value of US$0.00001 each, and (b) 741,254,447 Class B Ordinary Shares of par value of US$0.00001 each.</w:t>
      </w:r>
    </w:p>
    <w:p>
      <w:pPr>
        <w:spacing w:after="0" w:line="62"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9"/>
          <w:szCs w:val="19"/>
          <w:color w:val="auto"/>
        </w:rPr>
        <w:t>The issue and allotment of the Shares have been duly authorised and when allotted, issued and paid for as contemplated in the Registration Statement, the Prospectus Supplement and the Sales Agreement, the Shares will be legally issued and allotted, fully paid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20"/>
                <w:szCs w:val="20"/>
                <w:color w:val="auto"/>
              </w:rPr>
            </w:pPr>
            <w:r>
              <w:rPr>
                <w:rFonts w:ascii="Arial" w:cs="Arial" w:eastAsia="Arial" w:hAnsi="Arial"/>
                <w:sz w:val="14"/>
                <w:szCs w:val="14"/>
                <w:color w:val="auto"/>
              </w:rPr>
              <w:t>JVZ/816789-000001/86945138v1</w:t>
            </w:r>
          </w:p>
        </w:tc>
        <w:tc>
          <w:tcPr>
            <w:tcW w:w="6320" w:type="dxa"/>
            <w:vAlign w:val="bottom"/>
          </w:tcPr>
          <w:p>
            <w:pPr>
              <w:jc w:val="right"/>
              <w:ind w:right="3408"/>
              <w:spacing w:after="0"/>
              <w:rPr>
                <w:sz w:val="20"/>
                <w:szCs w:val="20"/>
                <w:color w:val="auto"/>
              </w:rPr>
            </w:pPr>
            <w:r>
              <w:rPr>
                <w:rFonts w:ascii="Arial" w:cs="Arial" w:eastAsia="Arial" w:hAnsi="Arial"/>
                <w:sz w:val="14"/>
                <w:szCs w:val="14"/>
                <w:color w:val="auto"/>
              </w:rPr>
              <w:t>2</w:t>
            </w:r>
          </w:p>
        </w:tc>
      </w:tr>
      <w:tr>
        <w:trPr>
          <w:trHeight w:val="555"/>
        </w:trPr>
        <w:tc>
          <w:tcPr>
            <w:tcW w:w="492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60"/>
        <w:spacing w:after="0" w:line="270" w:lineRule="auto"/>
        <w:rPr>
          <w:sz w:val="20"/>
          <w:szCs w:val="20"/>
          <w:color w:val="auto"/>
        </w:rPr>
      </w:pPr>
      <w:r>
        <w:rPr>
          <w:rFonts w:ascii="Arial" w:cs="Arial" w:eastAsia="Arial" w:hAnsi="Arial"/>
          <w:sz w:val="19"/>
          <w:szCs w:val="19"/>
          <w:color w:val="auto"/>
        </w:rPr>
        <w:t>non-assessable. As a matter of Cayman law, a share is only issued when it has been entered in the register of members (shareholders).</w:t>
      </w:r>
    </w:p>
    <w:p>
      <w:pPr>
        <w:spacing w:after="0" w:line="38" w:lineRule="exact"/>
        <w:rPr>
          <w:sz w:val="20"/>
          <w:szCs w:val="20"/>
          <w:color w:val="auto"/>
        </w:rPr>
      </w:pPr>
    </w:p>
    <w:p>
      <w:pPr>
        <w:ind w:left="760" w:hanging="752"/>
        <w:spacing w:after="0"/>
        <w:tabs>
          <w:tab w:leader="none" w:pos="7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Qualifications</w:t>
      </w:r>
    </w:p>
    <w:p>
      <w:pPr>
        <w:spacing w:after="0" w:line="104"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In this opinion letter the phrase "non-assessable" means, with respect to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hereby consent to the filing of this opinion as an exhibit to the Registration Statement and to the reference to our name under the headings "Enforceability of Civil Liabilities" and "Legal Matters" and elsewhere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 Maples and Calder (Hong Kong) LLP</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Maples and Calder (Hong Kong)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20"/>
                <w:szCs w:val="20"/>
                <w:color w:val="auto"/>
              </w:rPr>
            </w:pPr>
            <w:r>
              <w:rPr>
                <w:rFonts w:ascii="Arial" w:cs="Arial" w:eastAsia="Arial" w:hAnsi="Arial"/>
                <w:sz w:val="14"/>
                <w:szCs w:val="14"/>
                <w:color w:val="auto"/>
              </w:rPr>
              <w:t>JVZ/816789-000001/86945138v1</w:t>
            </w:r>
          </w:p>
        </w:tc>
        <w:tc>
          <w:tcPr>
            <w:tcW w:w="6320" w:type="dxa"/>
            <w:vAlign w:val="bottom"/>
          </w:tcPr>
          <w:p>
            <w:pPr>
              <w:jc w:val="right"/>
              <w:ind w:right="3408"/>
              <w:spacing w:after="0"/>
              <w:rPr>
                <w:sz w:val="20"/>
                <w:szCs w:val="20"/>
                <w:color w:val="auto"/>
              </w:rPr>
            </w:pPr>
            <w:r>
              <w:rPr>
                <w:rFonts w:ascii="Arial" w:cs="Arial" w:eastAsia="Arial" w:hAnsi="Arial"/>
                <w:sz w:val="14"/>
                <w:szCs w:val="14"/>
                <w:color w:val="auto"/>
              </w:rPr>
              <w:t>3</w:t>
            </w:r>
          </w:p>
        </w:tc>
      </w:tr>
      <w:tr>
        <w:trPr>
          <w:trHeight w:val="555"/>
        </w:trPr>
        <w:tc>
          <w:tcPr>
            <w:tcW w:w="492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0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June 25, 2026, between XCHG Limited, an exempted company incorporated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purchasers identified on the signature pages hereto (including its successors and assigns,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set forth in this Agreement and pursuant to an effective registration statement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(as defined below), the Company desires to issue and sell to each Purchaser, and each Purchaser, severally and not jointly, desires to purchase from the Company, securities of the Company as more fully described in this Agreement.</w:t>
      </w:r>
    </w:p>
    <w:p>
      <w:pPr>
        <w:spacing w:after="0" w:line="17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IN CONSIDERATION </w:t>
      </w:r>
      <w:r>
        <w:rPr>
          <w:rFonts w:ascii="Times New Roman" w:cs="Times New Roman" w:eastAsia="Times New Roman" w:hAnsi="Times New Roman"/>
          <w:sz w:val="18"/>
          <w:szCs w:val="18"/>
          <w:color w:val="auto"/>
        </w:rPr>
        <w:t>of the mutual covenants contained in this Agreement,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adequacy of which are hereby acknowledged, the Company and each Purchaser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7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means the Company’s American depositary shares, each representing 40 of the Company’s Class A ordinary shares, par value $0.00001 per share.</w:t>
      </w:r>
    </w:p>
    <w:p>
      <w:pPr>
        <w:spacing w:after="0" w:line="162" w:lineRule="exact"/>
        <w:rPr>
          <w:sz w:val="20"/>
          <w:szCs w:val="20"/>
          <w:color w:val="auto"/>
        </w:rPr>
      </w:pPr>
    </w:p>
    <w:p>
      <w:pPr>
        <w:jc w:val="both"/>
        <w:ind w:left="7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left="760"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means the prospectus included in the Registration Statement at the time it became effective, including documents incorporated therein by reference.</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7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Ordinary Share</w:t>
      </w:r>
      <w:r>
        <w:rPr>
          <w:rFonts w:ascii="Times New Roman" w:cs="Times New Roman" w:eastAsia="Times New Roman" w:hAnsi="Times New Roman"/>
          <w:sz w:val="18"/>
          <w:szCs w:val="18"/>
          <w:color w:val="auto"/>
        </w:rPr>
        <w:t>” means Class A ordinary share, par value $0.00001 per share, of the Company.</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left="760" w:firstLine="74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means the Trading Day on which all of the Transaction Documents have been executed and delivered by the applicable parties thereto, and all conditions precedent to (i) the Purchasers’ obligations to pay the Subscription Amount and (ii) the Company’s obligations</w:t>
      </w:r>
    </w:p>
    <w:p>
      <w:pPr>
        <w:spacing w:after="0" w:line="1" w:lineRule="exact"/>
        <w:rPr>
          <w:sz w:val="20"/>
          <w:szCs w:val="20"/>
          <w:color w:val="auto"/>
        </w:rPr>
      </w:pPr>
    </w:p>
    <w:p>
      <w:pPr>
        <w:jc w:val="both"/>
        <w:ind w:left="760"/>
        <w:spacing w:after="0" w:line="203" w:lineRule="auto"/>
        <w:rPr>
          <w:sz w:val="20"/>
          <w:szCs w:val="20"/>
          <w:color w:val="auto"/>
        </w:rPr>
      </w:pPr>
      <w:r>
        <w:rPr>
          <w:rFonts w:ascii="Times New Roman" w:cs="Times New Roman" w:eastAsia="Times New Roman" w:hAnsi="Times New Roman"/>
          <w:sz w:val="18"/>
          <w:szCs w:val="18"/>
          <w:color w:val="auto"/>
        </w:rPr>
        <w:t>to deliver the Securities, in each case, have been satisfied or waived, but in no event later than the first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Trading Day following the date hereof (or the second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Trading Day following the date hereof if this Agreement is signed on a day that is not a Trading Day or after 4:00 p.m. (New York City time) and before midnight (New York City time) on a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1017270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McLaughlin &amp; Stern, LLP, with offices located at 260 Madison Ave., 18th Floor, New York, NY 10016 .</w:t>
      </w:r>
    </w:p>
    <w:p>
      <w:pPr>
        <w:spacing w:after="0" w:line="22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xml:space="preserve">” means the issuance of (a) Class A Ordinary Shares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securities exercisable or exchangeable for or convertible into Class A Ordinary Shares issued and outstanding on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the Securities pursuant to this Agreement and (d) securities issued pursuant to acquisitions or strategic transactions approved by a majority of the disinterested directors of the Company,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securities are issued as “restricted securities” (as defined in Rule 144) and carry no registration rights that require or permit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filing of any registration statement in connection therewith during the prohibition period in Section 4.11 herein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3.1(z).</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3.1(o).</w:t>
      </w:r>
    </w:p>
    <w:p>
      <w:pPr>
        <w:spacing w:after="0" w:line="2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00" w:lineRule="exact"/>
        <w:rPr>
          <w:sz w:val="20"/>
          <w:szCs w:val="20"/>
          <w:color w:val="auto"/>
        </w:rPr>
      </w:pPr>
    </w:p>
    <w:p>
      <w:pPr>
        <w:spacing w:after="0" w:line="2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3.1(m).</w:t>
      </w:r>
    </w:p>
    <w:p>
      <w:pPr>
        <w:spacing w:after="0" w:line="225"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Company’s Class A ordinary shares, par value $0.00001 per share, and Class B ordinary shares, par value $0.00001 per share, and any other class of securities into which such securities may hereafter be reclassified or changed.</w:t>
      </w:r>
    </w:p>
    <w:p>
      <w:pPr>
        <w:spacing w:after="0" w:line="162"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Class A Ordinary Shares, including, without</w:t>
      </w:r>
    </w:p>
    <w:p>
      <w:pPr>
        <w:spacing w:after="0" w:line="16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20" w:name="page21"/>
    <w:bookmarkEnd w:id="2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limitation, any debt, preferred shares, right, option, warrant or other instrument that is at any time convertible into or exercisable or exchangeable for, or otherwise entitles the holder thereof to receive, Class A Ordinary Shares.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ADS Purchase Price</w:t>
      </w:r>
      <w:r>
        <w:rPr>
          <w:rFonts w:ascii="Times New Roman" w:cs="Times New Roman" w:eastAsia="Times New Roman" w:hAnsi="Times New Roman"/>
          <w:sz w:val="18"/>
          <w:szCs w:val="18"/>
          <w:color w:val="auto"/>
        </w:rPr>
        <w:t>” equals $0.625, subject to adjustment for reverse and forward stock splits, stock dividends, stock combinations and other similar transactions of the Class A Ordinary Shares that occur after the date of this Agreement.</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Agency Agreement</w:t>
      </w:r>
      <w:r>
        <w:rPr>
          <w:rFonts w:ascii="Times New Roman" w:cs="Times New Roman" w:eastAsia="Times New Roman" w:hAnsi="Times New Roman"/>
          <w:sz w:val="18"/>
          <w:szCs w:val="18"/>
          <w:color w:val="auto"/>
        </w:rPr>
        <w:t>” means the agreement executed on the Closing Date between the Company and the Placement Agent.</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A.G.P./Alliance Global Partners.</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shall have the meaning ascribed to such term in Section 4.16.</w:t>
      </w:r>
    </w:p>
    <w:p>
      <w:pPr>
        <w:spacing w:after="0" w:line="2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pending or, to the Company’s knowledge, threatened in writing against or affecting the Company, any Subsidiary or any of their respective properties before or by any court, arbitrator, governmental or administrative agency or regulatory authority (federal, state, county, local or foreign).</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Supplement together with the Base Prospectus, including all information, documents and exhibits filed with or incorporated by reference into such prospectus.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including all information, documents and exhibits filed with or incorporated by reference into such prospectus supplement, that is filed with the Commission and delivered by the Company to each Purchaser at the Closing in connection with the Shares.</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the effective registration statement filed with the Commission on Form F-3, as amended (File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333-292266), which registers the sale of the Securities, including, without limitation, the documents incorporated by reference therein.</w:t>
      </w:r>
    </w:p>
    <w:p>
      <w:pPr>
        <w:spacing w:after="0" w:line="2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ADS.</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21" w:name="page22"/>
    <w:bookmarkEnd w:id="21"/>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ADS issuable pursuant to this Agreement.</w:t>
      </w:r>
    </w:p>
    <w:p>
      <w:pPr>
        <w:spacing w:after="0" w:line="225" w:lineRule="exact"/>
        <w:rPr>
          <w:sz w:val="20"/>
          <w:szCs w:val="20"/>
          <w:color w:val="auto"/>
        </w:rPr>
      </w:pPr>
    </w:p>
    <w:p>
      <w:pPr>
        <w:jc w:val="both"/>
        <w:ind w:left="7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Class A Ordinary Shares).</w:t>
      </w:r>
    </w:p>
    <w:p>
      <w:pPr>
        <w:spacing w:after="0" w:line="162" w:lineRule="exact"/>
        <w:rPr>
          <w:sz w:val="20"/>
          <w:szCs w:val="20"/>
          <w:color w:val="auto"/>
        </w:rPr>
      </w:pPr>
    </w:p>
    <w:p>
      <w:pPr>
        <w:jc w:val="both"/>
        <w:ind w:left="76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in respect of the Securities, the aggregate amount to be paid for Securities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Equity Financing</w:t>
      </w:r>
      <w:r>
        <w:rPr>
          <w:rFonts w:ascii="Times New Roman" w:cs="Times New Roman" w:eastAsia="Times New Roman" w:hAnsi="Times New Roman"/>
          <w:sz w:val="18"/>
          <w:szCs w:val="18"/>
          <w:color w:val="auto"/>
        </w:rPr>
        <w:t>” shall have the meaning ascribed to such term in Section 4.16.</w:t>
      </w:r>
    </w:p>
    <w:p>
      <w:pPr>
        <w:spacing w:after="0" w:line="225" w:lineRule="exact"/>
        <w:rPr>
          <w:sz w:val="20"/>
          <w:szCs w:val="20"/>
          <w:color w:val="auto"/>
        </w:rPr>
      </w:pPr>
    </w:p>
    <w:p>
      <w:pPr>
        <w:jc w:val="both"/>
        <w:ind w:left="7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left="76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Class A Ordinary Shares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left="7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all exhibits and schedules hereto and any other documents or agreements executed in connection with the transactions contemplated hereunder.</w:t>
      </w:r>
    </w:p>
    <w:p>
      <w:pPr>
        <w:spacing w:after="0" w:line="162" w:lineRule="exact"/>
        <w:rPr>
          <w:sz w:val="20"/>
          <w:szCs w:val="20"/>
          <w:color w:val="auto"/>
        </w:rPr>
      </w:pPr>
    </w:p>
    <w:p>
      <w:pPr>
        <w:jc w:val="both"/>
        <w:ind w:left="76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The Bank of New York Mellon, as depositary of the ADSs, with the Class A ordinary shares, par value $0.00001 per share deposited with The Hongkong and Shanghai Banking corporation, as custodian for the depositary in Hong Kong, and any successor depositary of the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the number of Shares set forth under “Subscription Amount” on the Purchaser’s signature page hereto at the Per ADS Purchase Price Each Purchaser’s Subscription Amount as set forth on the signature page hereto executed by such Purchaser shall be made available for “Delivery Versus Payment” settlement with the Company or its designee. The Company shall deliver to each Purchaser its respective Shares,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Unless otherwise directed by the Placement Agent, settlement of the Shares shall occur via “Delivery Versus Payment”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right="20" w:firstLine="745"/>
        <w:spacing w:after="0" w:line="282" w:lineRule="auto"/>
        <w:tabs>
          <w:tab w:leader="none" w:pos="17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otherwise waived or indicated), the Company shall deliver or cause to be delivered to each Purchaser the following:</w:t>
      </w:r>
    </w:p>
    <w:p>
      <w:pPr>
        <w:spacing w:after="0" w:line="161" w:lineRule="exact"/>
        <w:rPr>
          <w:rFonts w:ascii="Times New Roman" w:cs="Times New Roman" w:eastAsia="Times New Roman" w:hAnsi="Times New Roman"/>
          <w:sz w:val="18"/>
          <w:szCs w:val="18"/>
          <w:color w:val="auto"/>
        </w:rPr>
      </w:pPr>
    </w:p>
    <w:p>
      <w:pPr>
        <w:ind w:left="2460" w:hanging="206"/>
        <w:spacing w:after="0"/>
        <w:tabs>
          <w:tab w:leader="none" w:pos="2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ind w:left="1760" w:hanging="266"/>
        <w:spacing w:after="0"/>
        <w:tabs>
          <w:tab w:leader="none" w:pos="1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in form reasonably acceptable to the Placement Agent and each Purchaser;</w:t>
      </w:r>
    </w:p>
    <w:p>
      <w:pPr>
        <w:spacing w:after="0" w:line="225" w:lineRule="exact"/>
        <w:rPr>
          <w:rFonts w:ascii="Times New Roman" w:cs="Times New Roman" w:eastAsia="Times New Roman" w:hAnsi="Times New Roman"/>
          <w:sz w:val="18"/>
          <w:szCs w:val="18"/>
          <w:color w:val="auto"/>
        </w:rPr>
      </w:pPr>
    </w:p>
    <w:p>
      <w:pPr>
        <w:ind w:left="740" w:right="20" w:firstLine="754"/>
        <w:spacing w:after="0" w:line="282" w:lineRule="auto"/>
        <w:tabs>
          <w:tab w:leader="none" w:pos="18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wire instructions on Company letterhead and executed by the Company’s Chief Executive Officer or Chief Financial Officer;</w:t>
      </w:r>
    </w:p>
    <w:p>
      <w:pPr>
        <w:spacing w:after="0" w:line="161" w:lineRule="exact"/>
        <w:rPr>
          <w:rFonts w:ascii="Times New Roman" w:cs="Times New Roman" w:eastAsia="Times New Roman" w:hAnsi="Times New Roman"/>
          <w:sz w:val="18"/>
          <w:szCs w:val="18"/>
          <w:color w:val="auto"/>
        </w:rPr>
      </w:pPr>
    </w:p>
    <w:p>
      <w:pPr>
        <w:jc w:val="both"/>
        <w:ind w:left="740" w:firstLine="754"/>
        <w:spacing w:after="0" w:line="266" w:lineRule="auto"/>
        <w:tabs>
          <w:tab w:leader="none" w:pos="180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Section 2.1, a copy of the irrevocable instructions to the Transfer Agent instructing the Transfer Agent to deliver on an expedited basis via The Depository Trust Company Deposit or Withdrawal at Custodian system Shares equal to such Purchaser’s Subscription Amount divided by the Per ADS Purchase Price, registered in the name of such Purchaser;</w:t>
      </w:r>
    </w:p>
    <w:p>
      <w:pPr>
        <w:spacing w:after="0" w:line="175" w:lineRule="exact"/>
        <w:rPr>
          <w:rFonts w:ascii="Times New Roman" w:cs="Times New Roman" w:eastAsia="Times New Roman" w:hAnsi="Times New Roman"/>
          <w:sz w:val="18"/>
          <w:szCs w:val="18"/>
          <w:color w:val="auto"/>
        </w:rPr>
      </w:pPr>
    </w:p>
    <w:p>
      <w:pPr>
        <w:ind w:left="1740" w:hanging="246"/>
        <w:spacing w:after="0"/>
        <w:tabs>
          <w:tab w:leader="none" w:pos="17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800" w:hanging="306"/>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and delivered Officer’s Certificate, in form and substance satisfactory to the Placement Agent and each</w:t>
      </w:r>
    </w:p>
    <w:p>
      <w:pPr>
        <w:spacing w:after="0" w:line="27"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w:t>
      </w:r>
    </w:p>
    <w:p>
      <w:pPr>
        <w:spacing w:after="0" w:line="206" w:lineRule="exact"/>
        <w:rPr>
          <w:rFonts w:ascii="Times New Roman" w:cs="Times New Roman" w:eastAsia="Times New Roman" w:hAnsi="Times New Roman"/>
          <w:sz w:val="18"/>
          <w:szCs w:val="18"/>
          <w:color w:val="auto"/>
        </w:rPr>
      </w:pPr>
    </w:p>
    <w:p>
      <w:pPr>
        <w:ind w:left="740" w:firstLine="754"/>
        <w:spacing w:after="0" w:line="282" w:lineRule="auto"/>
        <w:tabs>
          <w:tab w:leader="none" w:pos="184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duly executed and delivered Secretary’s Certificate, in form and substance satisfactory to the Placement Agent and each Purchaser;</w:t>
      </w:r>
    </w:p>
    <w:p>
      <w:pPr>
        <w:spacing w:after="0" w:line="161" w:lineRule="exact"/>
        <w:rPr>
          <w:rFonts w:ascii="Times New Roman" w:cs="Times New Roman" w:eastAsia="Times New Roman" w:hAnsi="Times New Roman"/>
          <w:sz w:val="18"/>
          <w:szCs w:val="18"/>
          <w:color w:val="auto"/>
        </w:rPr>
      </w:pPr>
    </w:p>
    <w:p>
      <w:pPr>
        <w:ind w:left="1900" w:hanging="406"/>
        <w:spacing w:after="0"/>
        <w:tabs>
          <w:tab w:leader="none" w:pos="1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1000" w:hanging="255"/>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700" w:hanging="206"/>
        <w:spacing w:after="0"/>
        <w:tabs>
          <w:tab w:leader="none" w:pos="1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740" w:right="20" w:firstLine="754"/>
        <w:spacing w:after="0" w:line="282" w:lineRule="auto"/>
        <w:tabs>
          <w:tab w:leader="none" w:pos="176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45"/>
        <w:spacing w:after="0" w:line="282" w:lineRule="auto"/>
        <w:tabs>
          <w:tab w:leader="none" w:pos="10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with respect to each Purchaser are subject to the following conditions being met:</w:t>
      </w:r>
    </w:p>
    <w:p>
      <w:pPr>
        <w:spacing w:after="0" w:line="161" w:lineRule="exact"/>
        <w:rPr>
          <w:rFonts w:ascii="Times New Roman" w:cs="Times New Roman" w:eastAsia="Times New Roman" w:hAnsi="Times New Roman"/>
          <w:sz w:val="18"/>
          <w:szCs w:val="18"/>
          <w:color w:val="auto"/>
        </w:rPr>
      </w:pPr>
    </w:p>
    <w:p>
      <w:pPr>
        <w:jc w:val="both"/>
        <w:ind w:left="740" w:firstLine="754"/>
        <w:spacing w:after="0" w:line="261" w:lineRule="auto"/>
        <w:tabs>
          <w:tab w:leader="none" w:pos="172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when made and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740" w:firstLine="754"/>
        <w:spacing w:after="0" w:line="282" w:lineRule="auto"/>
        <w:tabs>
          <w:tab w:leader="none" w:pos="17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800" w:hanging="306"/>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1000" w:hanging="255"/>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w:t>
      </w:r>
    </w:p>
    <w:p>
      <w:pPr>
        <w:spacing w:after="0" w:line="206" w:lineRule="exact"/>
        <w:rPr>
          <w:rFonts w:ascii="Times New Roman" w:cs="Times New Roman" w:eastAsia="Times New Roman" w:hAnsi="Times New Roman"/>
          <w:sz w:val="18"/>
          <w:szCs w:val="18"/>
          <w:color w:val="auto"/>
        </w:rPr>
      </w:pPr>
    </w:p>
    <w:p>
      <w:pPr>
        <w:jc w:val="both"/>
        <w:ind w:left="740" w:firstLine="754"/>
        <w:spacing w:after="0" w:line="266" w:lineRule="auto"/>
        <w:tabs>
          <w:tab w:leader="none" w:pos="173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w:t>
      </w:r>
    </w:p>
    <w:p>
      <w:pPr>
        <w:spacing w:after="0" w:line="17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23" w:name="page24"/>
    <w:bookmarkEnd w:id="23"/>
    <w:p>
      <w:pPr>
        <w:jc w:val="center"/>
        <w:ind w:right="-119"/>
        <w:spacing w:after="0"/>
        <w:rPr>
          <w:sz w:val="20"/>
          <w:szCs w:val="20"/>
          <w:color w:val="auto"/>
        </w:rPr>
      </w:pPr>
      <w:r>
        <w:rPr>
          <w:rFonts w:ascii="Times New Roman" w:cs="Times New Roman" w:eastAsia="Times New Roman" w:hAnsi="Times New Roman"/>
          <w:sz w:val="18"/>
          <w:szCs w:val="18"/>
          <w:color w:val="auto"/>
        </w:rPr>
        <w:t>representations or warranties are qualified by materiality or Material Adverse Effect, in all respects) as of such date;</w:t>
      </w:r>
    </w:p>
    <w:p>
      <w:pPr>
        <w:spacing w:after="0" w:line="225" w:lineRule="exact"/>
        <w:rPr>
          <w:sz w:val="20"/>
          <w:szCs w:val="20"/>
          <w:color w:val="auto"/>
        </w:rPr>
      </w:pPr>
    </w:p>
    <w:p>
      <w:pPr>
        <w:ind w:left="1500" w:firstLine="754"/>
        <w:spacing w:after="0" w:line="282" w:lineRule="auto"/>
        <w:tabs>
          <w:tab w:leader="none" w:pos="25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w:t>
      </w:r>
    </w:p>
    <w:p>
      <w:pPr>
        <w:spacing w:after="0" w:line="225" w:lineRule="exact"/>
        <w:rPr>
          <w:rFonts w:ascii="Times New Roman" w:cs="Times New Roman" w:eastAsia="Times New Roman" w:hAnsi="Times New Roman"/>
          <w:sz w:val="18"/>
          <w:szCs w:val="18"/>
          <w:color w:val="auto"/>
        </w:rPr>
      </w:pPr>
    </w:p>
    <w:p>
      <w:pPr>
        <w:jc w:val="both"/>
        <w:ind w:left="1500" w:firstLine="754"/>
        <w:spacing w:after="0" w:line="254" w:lineRule="auto"/>
        <w:tabs>
          <w:tab w:leader="none" w:pos="254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and including the Closing Date, trading in the Company’s securities shall not have been suspended by the Commission or any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91" w:lineRule="exact"/>
        <w:rPr>
          <w:rFonts w:ascii="Times New Roman" w:cs="Times New Roman" w:eastAsia="Times New Roman" w:hAnsi="Times New Roman"/>
          <w:sz w:val="18"/>
          <w:szCs w:val="18"/>
          <w:color w:val="auto"/>
        </w:rPr>
      </w:pPr>
    </w:p>
    <w:p>
      <w:pPr>
        <w:ind w:left="2580" w:hanging="326"/>
        <w:spacing w:after="0"/>
        <w:tabs>
          <w:tab w:leader="none" w:pos="2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an additional listing application with the principal Trading Market with respect to the</w:t>
      </w:r>
    </w:p>
    <w:p>
      <w:pPr>
        <w:spacing w:after="0" w:line="27"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w:t>
      </w:r>
    </w:p>
    <w:p>
      <w:pPr>
        <w:spacing w:after="0" w:line="206" w:lineRule="exact"/>
        <w:rPr>
          <w:rFonts w:ascii="Times New Roman" w:cs="Times New Roman" w:eastAsia="Times New Roman" w:hAnsi="Times New Roman"/>
          <w:sz w:val="18"/>
          <w:szCs w:val="18"/>
          <w:color w:val="auto"/>
        </w:rPr>
      </w:pPr>
    </w:p>
    <w:p>
      <w:pPr>
        <w:jc w:val="both"/>
        <w:ind w:left="1500" w:firstLine="754"/>
        <w:spacing w:after="0" w:line="266" w:lineRule="auto"/>
        <w:tabs>
          <w:tab w:leader="none" w:pos="26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the issuance of the Securities pursuant this Agreement and the total existing ADS as per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on the Closing Date, no fewer than 88,528,684 ADS of the Company will have been issued and outstanding, and all such issued and outstanding ADS shall have been issued prior to or contemporaneously with the issuance of the Securities to the Purchasers.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each Purchaser:</w:t>
      </w:r>
    </w:p>
    <w:p>
      <w:pPr>
        <w:spacing w:after="0" w:line="162" w:lineRule="exact"/>
        <w:rPr>
          <w:sz w:val="20"/>
          <w:szCs w:val="20"/>
          <w:color w:val="auto"/>
        </w:rPr>
      </w:pPr>
    </w:p>
    <w:p>
      <w:pPr>
        <w:jc w:val="both"/>
        <w:ind w:left="760" w:firstLine="745"/>
        <w:spacing w:after="0" w:line="254" w:lineRule="auto"/>
        <w:tabs>
          <w:tab w:leader="none" w:pos="17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references to the Subsidiaries or any of them in the Transaction Documents shall be disregarded.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capital stock of any Subsidiary, or contracts, commitments, understandings or arrangements by which any Subsidiary is or may become bound to issue capital stock.</w:t>
      </w:r>
    </w:p>
    <w:p>
      <w:pPr>
        <w:spacing w:after="0" w:line="191" w:lineRule="exact"/>
        <w:rPr>
          <w:rFonts w:ascii="Times New Roman" w:cs="Times New Roman" w:eastAsia="Times New Roman" w:hAnsi="Times New Roman"/>
          <w:sz w:val="18"/>
          <w:szCs w:val="18"/>
          <w:color w:val="auto"/>
        </w:rPr>
      </w:pPr>
    </w:p>
    <w:p>
      <w:pPr>
        <w:jc w:val="both"/>
        <w:ind w:left="760" w:firstLine="745"/>
        <w:spacing w:after="0" w:line="255" w:lineRule="auto"/>
        <w:tabs>
          <w:tab w:leader="none" w:pos="17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if applicable under the laws of the jurisdiction in which they are formed, in good standing under the laws of the jurisdiction of its incorporation or organization, with the requisite power and authority to own and use its properties and assets and to carry on its business as currently conducted. The Company and each of the Subsidiaries has all necessary authorizations, approvals, orders, licenses, certificates and permits of and from all governmental regulatory officials and bodies that it needs as of the date hereof to conduct its business purpose in all material respects as described in the SEC Reports and to own or lease its properties. Neither the Company nor any Subsidiary is in violation nor default of any of the provisions of its respective certificate or articles of incorporation, bylaws, memorandum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articles of association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The term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 effect, change, event or occurrence that, alone or in conjunction with any other or others: (i) has or would reasonably be expected to have a material adverse effect on: (A) the business, general affairs, management, condition (financial or otherwise), results of operations, shareholders’ equity, properties or prospects of the Company and the Subsidiaries, taken as a whole, or (B) the legality, validity or enforceability of any Transaction Document,</w:t>
      </w:r>
    </w:p>
    <w:p>
      <w:pPr>
        <w:spacing w:after="0" w:line="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(ii) the Company’s ability to perform in any material respect on a timely basis its obligations under any Transaction Document provided that a change in market price or trading volume of the Ordinary Shares alone shall not be deemed, in and of itself, to constitute a Material Adverse Effect. No Proceeding has been instituted in any jurisdiction revoking, limiting or curtailing or seeking to revoke, limit or curtail such power and authority or qualification.</w:t>
      </w:r>
    </w:p>
    <w:p>
      <w:pPr>
        <w:spacing w:after="0" w:line="176" w:lineRule="exact"/>
        <w:rPr>
          <w:sz w:val="20"/>
          <w:szCs w:val="20"/>
          <w:color w:val="auto"/>
        </w:rPr>
      </w:pPr>
    </w:p>
    <w:p>
      <w:pPr>
        <w:jc w:val="both"/>
        <w:ind w:firstLine="745"/>
        <w:spacing w:after="0" w:line="253" w:lineRule="auto"/>
        <w:tabs>
          <w:tab w:leader="none" w:pos="10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745"/>
        <w:spacing w:after="0" w:line="253" w:lineRule="auto"/>
        <w:tabs>
          <w:tab w:leader="none" w:pos="10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memorandum and articles of association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jc w:val="both"/>
        <w:ind w:firstLine="745"/>
        <w:spacing w:after="0" w:line="258" w:lineRule="auto"/>
        <w:tabs>
          <w:tab w:leader="none" w:pos="9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foreign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the notice and/or application(s) to each applicable Trading Market for the listing of the Shares for trading thereon</w:t>
      </w:r>
    </w:p>
    <w:p>
      <w:pPr>
        <w:spacing w:after="0" w:line="18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745"/>
        <w:spacing w:after="0" w:line="252" w:lineRule="auto"/>
        <w:tabs>
          <w:tab w:leader="none" w:pos="9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The Company has reserved and will keep available from its duly authorized but unissued Class A Ordinary Shares, and at all times will have sufficient authorized but unissued Class A Ordinary Shares to accommodate, the maximum number of Class A Ordinary Shares issuable pursuant to the Transaction Documents. The Company has filed the Registration Statement in conformity with the requirements of the Securities Act, which became effective on January 29, 2026,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Base Prospectus, the Prospectus Supplement and any amendments or supplements thereto, at the time the Base Prospectus, the Prospectus Supplement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F-3.</w:t>
      </w:r>
    </w:p>
    <w:p>
      <w:pPr>
        <w:spacing w:after="0" w:line="191" w:lineRule="exact"/>
        <w:rPr>
          <w:rFonts w:ascii="Times New Roman" w:cs="Times New Roman" w:eastAsia="Times New Roman" w:hAnsi="Times New Roman"/>
          <w:sz w:val="18"/>
          <w:szCs w:val="18"/>
          <w:color w:val="auto"/>
        </w:rPr>
      </w:pPr>
    </w:p>
    <w:p>
      <w:pPr>
        <w:jc w:val="both"/>
        <w:ind w:firstLine="745"/>
        <w:spacing w:after="0" w:line="251" w:lineRule="auto"/>
        <w:tabs>
          <w:tab w:leader="none" w:pos="10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is as set forth in the SEC Reports as of the date thereof, which SEC Reports also include the number of Ordinary Shares owned beneficially, and of record, by Affiliates of the Company as of the date thereof. The Company has not issued any capital stock since its most recently filed periodic report under the Exchange Act, other than pursuant to the exercise of employee stock options under the Company’s stock option plans, the issuance of Class A Ordinary Shares to employees pursuant to the Company’s employee stock purchase plans, and pursuant to the conversion and/or exercise of Ordinary Share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the SEC Reports and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capital stock of any Subsidiary, or contracts, commitments, understandings or arrangements by which the Company or any Subsidiary is or may become bound to issue additional Ordinary Shares or Ordinary Share Equivalents or the capital stock of any Subsidiary. The issuance and sale of the Securities will not obligate the Company or any Subsidiary to issue Class A Ordinary Shares or other securities to any Person (other than the Purchasers) and will not result in a right of any holder of Company securities to adjust the exercise, conversion, exchange or reset price under any of such securities.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where applicable, and none of such outstanding shares was issued in violation of any preemptive rights or similar rights to subscribe for or purchase securities. Except for the Required Approvals, no further approval or authorization of any stockholder, the Board of Directors or others is required for the issuance and sale of the Securities.</w:t>
      </w:r>
    </w:p>
    <w:p>
      <w:pPr>
        <w:spacing w:after="0" w:line="20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t>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62" w:lineRule="exact"/>
        <w:rPr>
          <w:sz w:val="20"/>
          <w:szCs w:val="20"/>
          <w:color w:val="auto"/>
        </w:rPr>
      </w:pPr>
    </w:p>
    <w:p>
      <w:pPr>
        <w:jc w:val="both"/>
        <w:ind w:firstLine="745"/>
        <w:spacing w:after="0" w:line="252" w:lineRule="auto"/>
        <w:tabs>
          <w:tab w:leader="none" w:pos="10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consolidated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conformity with GAAP applied on a consistent basis during the periods involved,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4" w:lineRule="exact"/>
        <w:rPr>
          <w:rFonts w:ascii="Times New Roman" w:cs="Times New Roman" w:eastAsia="Times New Roman" w:hAnsi="Times New Roman"/>
          <w:sz w:val="18"/>
          <w:szCs w:val="18"/>
          <w:color w:val="auto"/>
        </w:rPr>
      </w:pPr>
    </w:p>
    <w:p>
      <w:pPr>
        <w:ind w:left="980" w:hanging="235"/>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w:t>
      </w:r>
    </w:p>
    <w:p>
      <w:pPr>
        <w:spacing w:after="0" w:line="49" w:lineRule="exact"/>
        <w:rPr>
          <w:rFonts w:ascii="Times New Roman" w:cs="Times New Roman" w:eastAsia="Times New Roman" w:hAnsi="Times New Roman"/>
          <w:sz w:val="18"/>
          <w:szCs w:val="18"/>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SEC Reports, except as disclosed in a subsequent SEC Report filed prior to the date hereof, (i) there has been no event, occurrence or development that has had or that could reasonably be expected to result in a Material Adverse Effect, (ii) neither the Company nor any Subsidiary has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Except as disclosed in the SEC Reports,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9" w:lineRule="exact"/>
        <w:rPr>
          <w:rFonts w:ascii="Times New Roman" w:cs="Times New Roman" w:eastAsia="Times New Roman" w:hAnsi="Times New Roman"/>
          <w:sz w:val="18"/>
          <w:szCs w:val="18"/>
          <w:color w:val="auto"/>
        </w:rPr>
      </w:pPr>
    </w:p>
    <w:p>
      <w:pPr>
        <w:jc w:val="both"/>
        <w:ind w:firstLine="745"/>
        <w:spacing w:after="0" w:line="256" w:lineRule="auto"/>
        <w:tabs>
          <w:tab w:leader="none" w:pos="9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set forth in the SEC Reports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w:t>
      </w:r>
    </w:p>
    <w:p>
      <w:pPr>
        <w:spacing w:after="0" w:line="11" w:lineRule="exact"/>
        <w:rPr>
          <w:rFonts w:ascii="Times New Roman" w:cs="Times New Roman" w:eastAsia="Times New Roman" w:hAnsi="Times New Roman"/>
          <w:sz w:val="18"/>
          <w:szCs w:val="18"/>
          <w:color w:val="auto"/>
        </w:rPr>
      </w:pPr>
    </w:p>
    <w:p>
      <w:pPr>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of any Action involving a claim of violation of or liability under federal or state securities laws or a claim of breach of fiduciary duty which could have or reasonably be expected to result in a Material</w:t>
      </w:r>
    </w:p>
    <w:p>
      <w:pPr>
        <w:spacing w:after="0" w:line="14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Adverse Effect.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80" w:lineRule="exact"/>
        <w:rPr>
          <w:sz w:val="20"/>
          <w:szCs w:val="20"/>
          <w:color w:val="auto"/>
        </w:rPr>
      </w:pPr>
    </w:p>
    <w:p>
      <w:pPr>
        <w:jc w:val="both"/>
        <w:ind w:firstLine="745"/>
        <w:spacing w:after="0" w:line="253" w:lineRule="auto"/>
        <w:tabs>
          <w:tab w:leader="none" w:pos="10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firstLine="745"/>
        <w:spacing w:after="0" w:line="254" w:lineRule="auto"/>
        <w:tabs>
          <w:tab w:leader="none" w:pos="9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of (i), (ii) and (iii) as could not have or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jc w:val="both"/>
        <w:ind w:firstLine="745"/>
        <w:spacing w:after="0" w:line="258" w:lineRule="auto"/>
        <w:tabs>
          <w:tab w:leader="none" w:pos="10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83" w:lineRule="exact"/>
        <w:rPr>
          <w:rFonts w:ascii="Times New Roman" w:cs="Times New Roman" w:eastAsia="Times New Roman" w:hAnsi="Times New Roman"/>
          <w:sz w:val="18"/>
          <w:szCs w:val="18"/>
          <w:color w:val="auto"/>
        </w:rPr>
      </w:pPr>
    </w:p>
    <w:p>
      <w:pPr>
        <w:jc w:val="both"/>
        <w:ind w:firstLine="745"/>
        <w:spacing w:after="0" w:line="255" w:lineRule="auto"/>
        <w:tabs>
          <w:tab w:leader="none" w:pos="10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foreign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spacing w:after="0" w:line="188" w:lineRule="exact"/>
        <w:rPr>
          <w:rFonts w:ascii="Times New Roman" w:cs="Times New Roman" w:eastAsia="Times New Roman" w:hAnsi="Times New Roman"/>
          <w:sz w:val="18"/>
          <w:szCs w:val="18"/>
          <w:color w:val="auto"/>
        </w:rPr>
      </w:pPr>
    </w:p>
    <w:p>
      <w:pPr>
        <w:jc w:val="both"/>
        <w:ind w:firstLine="745"/>
        <w:spacing w:after="0" w:line="261" w:lineRule="auto"/>
        <w:tabs>
          <w:tab w:leader="none" w:pos="101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w:t>
      </w:r>
    </w:p>
    <w:p>
      <w:pPr>
        <w:spacing w:after="0" w:line="1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28" w:name="page29"/>
    <w:bookmarkEnd w:id="28"/>
    <w:p>
      <w:pPr>
        <w:jc w:val="both"/>
        <w:spacing w:after="0" w:line="273" w:lineRule="auto"/>
        <w:rPr>
          <w:sz w:val="20"/>
          <w:szCs w:val="20"/>
          <w:color w:val="auto"/>
        </w:rPr>
      </w:pPr>
      <w:r>
        <w:rPr>
          <w:rFonts w:ascii="Times New Roman" w:cs="Times New Roman" w:eastAsia="Times New Roman" w:hAnsi="Times New Roman"/>
          <w:sz w:val="18"/>
          <w:szCs w:val="18"/>
          <w:color w:val="auto"/>
        </w:rPr>
        <w:t>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spacing w:after="0" w:line="190" w:lineRule="exact"/>
        <w:rPr>
          <w:sz w:val="20"/>
          <w:szCs w:val="20"/>
          <w:color w:val="auto"/>
        </w:rPr>
      </w:pPr>
    </w:p>
    <w:p>
      <w:pPr>
        <w:jc w:val="both"/>
        <w:ind w:firstLine="745"/>
        <w:spacing w:after="0" w:line="258" w:lineRule="auto"/>
        <w:tabs>
          <w:tab w:leader="none" w:pos="10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commercially reasonable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firstLine="745"/>
        <w:spacing w:after="0" w:line="254" w:lineRule="auto"/>
        <w:tabs>
          <w:tab w:leader="none" w:pos="10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Other than as disclosed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rFonts w:ascii="Times New Roman" w:cs="Times New Roman" w:eastAsia="Times New Roman" w:hAnsi="Times New Roman"/>
          <w:sz w:val="18"/>
          <w:szCs w:val="18"/>
          <w:color w:val="auto"/>
        </w:rPr>
      </w:pPr>
    </w:p>
    <w:p>
      <w:pPr>
        <w:jc w:val="both"/>
        <w:ind w:firstLine="745"/>
        <w:spacing w:after="0" w:line="252" w:lineRule="auto"/>
        <w:tabs>
          <w:tab w:leader="none" w:pos="9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and their respective officers and directors are in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in all material respects. Except as disclosed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differences. Except as disclosed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w:t>
      </w:r>
    </w:p>
    <w:p>
      <w:pPr>
        <w:spacing w:after="0" w:line="19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83" w:lineRule="exact"/>
        <w:rPr>
          <w:sz w:val="20"/>
          <w:szCs w:val="20"/>
          <w:color w:val="auto"/>
        </w:rPr>
      </w:pPr>
    </w:p>
    <w:p>
      <w:pPr>
        <w:jc w:val="both"/>
        <w:ind w:firstLine="745"/>
        <w:spacing w:after="0" w:line="258" w:lineRule="auto"/>
        <w:tabs>
          <w:tab w:leader="none" w:pos="98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other than fees payable to the Placement Agent.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firstLine="745"/>
        <w:spacing w:after="0" w:line="261" w:lineRule="auto"/>
        <w:tabs>
          <w:tab w:leader="none" w:pos="96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right="20" w:firstLine="745"/>
        <w:spacing w:after="0" w:line="282" w:lineRule="auto"/>
        <w:tabs>
          <w:tab w:leader="none" w:pos="10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disclosed in the SEC Reports,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firstLine="745"/>
        <w:spacing w:after="0" w:line="253" w:lineRule="auto"/>
        <w:tabs>
          <w:tab w:leader="none" w:pos="10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Class A Ordinary Shares is registered pursuant to Section 12(b) or 12(g) of the Exchange Act, and the Company has taken no action designed to, or which to its knowledge is likely to have the effect of, terminating the registration of the Class A Ordinary Shares under the Exchange Act nor has the Company received any notification that the Commission is contemplating terminating such registration. Except as disclosed in the SEC Reports (or disclosed in a subsequent SEC Report filed prior to the Closing Date), the Company has not, in the 12 months preceding the date hereof, received notice from any Trading Market on which the Class A Ordinary Shares is or has been listed or quoted to the effect that the Company is not in compliance with the listing or maintenance requirements of such Trading Market. Except as disclosed in the SEC Reports (or disclosed in a subsequent SEC Report filed prior to the Closing Date, the Company is, and has no reason to believe that it will not in the foreseeable future continue to be, in compliance with all such listing and maintenance requirements. The Class A Ordinary Shares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91" w:lineRule="exact"/>
        <w:rPr>
          <w:rFonts w:ascii="Times New Roman" w:cs="Times New Roman" w:eastAsia="Times New Roman" w:hAnsi="Times New Roman"/>
          <w:sz w:val="18"/>
          <w:szCs w:val="18"/>
          <w:color w:val="auto"/>
        </w:rPr>
      </w:pPr>
    </w:p>
    <w:p>
      <w:pPr>
        <w:jc w:val="both"/>
        <w:ind w:firstLine="745"/>
        <w:spacing w:after="0" w:line="256" w:lineRule="auto"/>
        <w:tabs>
          <w:tab w:leader="none" w:pos="10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a Purchaser as a result of such Purchaser and the Company fulfilling their obligations or exercising their rights under the Transaction Documents, including without limitation as a result of the Company’s issuance of the Securities and such Purchaser’s ownership of the Securities.</w:t>
      </w:r>
    </w:p>
    <w:p>
      <w:pPr>
        <w:spacing w:after="0" w:line="187" w:lineRule="exact"/>
        <w:rPr>
          <w:rFonts w:ascii="Times New Roman" w:cs="Times New Roman" w:eastAsia="Times New Roman" w:hAnsi="Times New Roman"/>
          <w:sz w:val="18"/>
          <w:szCs w:val="18"/>
          <w:color w:val="auto"/>
        </w:rPr>
      </w:pPr>
    </w:p>
    <w:p>
      <w:pPr>
        <w:jc w:val="both"/>
        <w:ind w:firstLine="745"/>
        <w:spacing w:after="0" w:line="258" w:lineRule="auto"/>
        <w:tabs>
          <w:tab w:leader="none" w:pos="10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Purchaser or its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w:t>
      </w:r>
    </w:p>
    <w:p>
      <w:pPr>
        <w:spacing w:after="0" w:line="1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by or on behalf of the Company to the Purchasers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92" w:lineRule="exact"/>
        <w:rPr>
          <w:sz w:val="20"/>
          <w:szCs w:val="20"/>
          <w:color w:val="auto"/>
        </w:rPr>
      </w:pPr>
    </w:p>
    <w:p>
      <w:pPr>
        <w:jc w:val="both"/>
        <w:ind w:firstLine="745"/>
        <w:spacing w:after="0" w:line="258" w:lineRule="auto"/>
        <w:tabs>
          <w:tab w:leader="none" w:pos="10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each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or (ii) any applicable shareholder approval provisions of any Trading Market on which any of the securities of the Company are listed or designated.</w:t>
      </w:r>
    </w:p>
    <w:p>
      <w:pPr>
        <w:spacing w:after="0" w:line="183" w:lineRule="exact"/>
        <w:rPr>
          <w:rFonts w:ascii="Times New Roman" w:cs="Times New Roman" w:eastAsia="Times New Roman" w:hAnsi="Times New Roman"/>
          <w:sz w:val="18"/>
          <w:szCs w:val="18"/>
          <w:color w:val="auto"/>
        </w:rPr>
      </w:pPr>
    </w:p>
    <w:p>
      <w:pPr>
        <w:jc w:val="both"/>
        <w:ind w:firstLine="745"/>
        <w:spacing w:after="0" w:line="252" w:lineRule="auto"/>
        <w:tabs>
          <w:tab w:leader="none" w:pos="9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sets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by the Company in excess of $50,000 (other than trade accounts payable incurred in the ordinary course of business), (y) all guaranties, endorsements and other contingent obligations in respect of indebtedness of others to third parties,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91" w:lineRule="exact"/>
        <w:rPr>
          <w:sz w:val="20"/>
          <w:szCs w:val="20"/>
          <w:color w:val="auto"/>
        </w:rPr>
      </w:pPr>
    </w:p>
    <w:p>
      <w:pPr>
        <w:jc w:val="both"/>
        <w:ind w:firstLine="745"/>
        <w:spacing w:after="0" w:line="255" w:lineRule="auto"/>
        <w:tabs>
          <w:tab w:leader="none" w:pos="10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or filed an extension to file,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200" w:lineRule="exact"/>
        <w:rPr>
          <w:sz w:val="20"/>
          <w:szCs w:val="20"/>
          <w:color w:val="auto"/>
        </w:rPr>
      </w:pP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31" w:name="page32"/>
    <w:bookmarkEnd w:id="31"/>
    <w:p>
      <w:pPr>
        <w:jc w:val="both"/>
        <w:ind w:left="-360" w:firstLine="745"/>
        <w:spacing w:after="0" w:line="256" w:lineRule="auto"/>
        <w:tabs>
          <w:tab w:leader="none" w:pos="7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left="-360" w:firstLine="745"/>
        <w:spacing w:after="0" w:line="261" w:lineRule="auto"/>
        <w:tabs>
          <w:tab w:leader="none" w:pos="7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current independent registered public accounting firm is as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spacing w:after="0" w:line="179" w:lineRule="exact"/>
        <w:rPr>
          <w:rFonts w:ascii="Times New Roman" w:cs="Times New Roman" w:eastAsia="Times New Roman" w:hAnsi="Times New Roman"/>
          <w:sz w:val="18"/>
          <w:szCs w:val="18"/>
          <w:color w:val="auto"/>
        </w:rPr>
      </w:pPr>
    </w:p>
    <w:p>
      <w:pPr>
        <w:jc w:val="both"/>
        <w:ind w:left="-360" w:firstLine="745"/>
        <w:spacing w:after="0" w:line="254" w:lineRule="auto"/>
        <w:tabs>
          <w:tab w:leader="none" w:pos="7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Each Purchaser’s Purchase of Securities</w:t>
      </w:r>
      <w:r>
        <w:rPr>
          <w:rFonts w:ascii="Times New Roman" w:cs="Times New Roman" w:eastAsia="Times New Roman" w:hAnsi="Times New Roman"/>
          <w:sz w:val="18"/>
          <w:szCs w:val="18"/>
          <w:color w:val="auto"/>
        </w:rPr>
        <w:t>. The Company acknowledges and agrees that each Purchaser is acting solely in the capacity of an arm’s length purchaser with respect to the Transaction Documents and the transactions contemplated thereby. The Company further acknowledges that each Purchaser is not acting as a financial advisor or fiduciary of the Company (or in any similar capacity) with respect to the Transaction Documents and the transactions contemplated thereby and any advice given by any Purchaser or any of its representatives or agents in connection with the Transaction Documents and the transactions contemplated thereby is merely incidental to such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1" w:lineRule="exact"/>
        <w:rPr>
          <w:rFonts w:ascii="Times New Roman" w:cs="Times New Roman" w:eastAsia="Times New Roman" w:hAnsi="Times New Roman"/>
          <w:sz w:val="18"/>
          <w:szCs w:val="18"/>
          <w:color w:val="auto"/>
        </w:rPr>
      </w:pPr>
    </w:p>
    <w:p>
      <w:pPr>
        <w:jc w:val="both"/>
        <w:ind w:left="-360" w:firstLine="745"/>
        <w:spacing w:after="0" w:line="253"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4.12 hereof), it is understood and acknowledged by the Company that: (i) the Purchasers have not been asked by the Company to agree, nor have the Purchasers agreed, to desist from purchasing or selling, long and/or short, securities of the Company, or “derivative” securities based on securities issued by the Company or to hold the Securities for any specified term; (ii) past or future open market or other transactions by the Purchasers, specifically including, without limitation, Short Sales or “derivative” transactions, before or after the closing of this or future private placement transactions, may negatively impact the market price of the Company’s publicly-traded securities; (iii) the Purchasers, and counter-parties in “derivative” transactions to which any Purchaser is a party, directly or indirectly, presently may have a “short” position in the Class A Ordinary Shares, and (iv) the Purchasers shall not be deemed to have any affiliation with or control over any arm’s length counter-party in any “derivative” transaction. The Company further understands and acknowledges that (y) the Purchasers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rFonts w:ascii="Times New Roman" w:cs="Times New Roman" w:eastAsia="Times New Roman" w:hAnsi="Times New Roman"/>
          <w:sz w:val="18"/>
          <w:szCs w:val="18"/>
          <w:color w:val="auto"/>
        </w:rPr>
      </w:pPr>
    </w:p>
    <w:p>
      <w:pPr>
        <w:jc w:val="both"/>
        <w:ind w:left="-360" w:firstLine="745"/>
        <w:spacing w:after="0" w:line="258" w:lineRule="auto"/>
        <w:tabs>
          <w:tab w:leader="none" w:pos="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3" w:lineRule="exact"/>
        <w:rPr>
          <w:rFonts w:ascii="Times New Roman" w:cs="Times New Roman" w:eastAsia="Times New Roman" w:hAnsi="Times New Roman"/>
          <w:sz w:val="18"/>
          <w:szCs w:val="18"/>
          <w:color w:val="auto"/>
        </w:rPr>
      </w:pPr>
    </w:p>
    <w:p>
      <w:pPr>
        <w:jc w:val="both"/>
        <w:ind w:left="-360" w:firstLine="745"/>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Company will not, directly or indirectly, use the proceeds of the</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7" w:right="339" w:bottom="1440" w:gutter="0" w:footer="0" w:header="0"/>
        </w:sectPr>
      </w:pPr>
    </w:p>
    <w:bookmarkStart w:id="32" w:name="page33"/>
    <w:bookmarkEnd w:id="32"/>
    <w:p>
      <w:pPr>
        <w:spacing w:after="0" w:line="282" w:lineRule="auto"/>
        <w:rPr>
          <w:sz w:val="20"/>
          <w:szCs w:val="20"/>
          <w:color w:val="auto"/>
        </w:rPr>
      </w:pPr>
      <w:r>
        <w:rPr>
          <w:rFonts w:ascii="Times New Roman" w:cs="Times New Roman" w:eastAsia="Times New Roman" w:hAnsi="Times New Roman"/>
          <w:sz w:val="18"/>
          <w:szCs w:val="18"/>
          <w:color w:val="auto"/>
        </w:rPr>
        <w:t>offering of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62" w:lineRule="exact"/>
        <w:rPr>
          <w:sz w:val="20"/>
          <w:szCs w:val="20"/>
          <w:color w:val="auto"/>
        </w:rPr>
      </w:pPr>
    </w:p>
    <w:p>
      <w:pPr>
        <w:ind w:firstLine="745"/>
        <w:spacing w:after="0" w:line="282" w:lineRule="auto"/>
        <w:tabs>
          <w:tab w:leader="none" w:pos="109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any Purchaser’s request.</w:t>
      </w:r>
    </w:p>
    <w:p>
      <w:pPr>
        <w:spacing w:after="0" w:line="161" w:lineRule="exact"/>
        <w:rPr>
          <w:rFonts w:ascii="Times New Roman" w:cs="Times New Roman" w:eastAsia="Times New Roman" w:hAnsi="Times New Roman"/>
          <w:sz w:val="18"/>
          <w:szCs w:val="18"/>
          <w:color w:val="auto"/>
        </w:rPr>
      </w:pPr>
    </w:p>
    <w:p>
      <w:pPr>
        <w:jc w:val="both"/>
        <w:ind w:firstLine="745"/>
        <w:spacing w:after="0" w:line="256"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745"/>
        <w:spacing w:after="0" w:line="258" w:lineRule="auto"/>
        <w:tabs>
          <w:tab w:leader="none" w:pos="10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firstLine="745"/>
        <w:spacing w:after="0" w:line="261" w:lineRule="auto"/>
        <w:tabs>
          <w:tab w:leader="none" w:pos="11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Stamp or Other Tax</w:t>
      </w:r>
      <w:r>
        <w:rPr>
          <w:rFonts w:ascii="Times New Roman" w:cs="Times New Roman" w:eastAsia="Times New Roman" w:hAnsi="Times New Roman"/>
          <w:sz w:val="18"/>
          <w:szCs w:val="18"/>
          <w:color w:val="auto"/>
        </w:rPr>
        <w:t>. No stamp or other issuance or transfer taxes or duties and no capital gains, income, withholding or other taxes are payable by or on behalf of the Placements Agents or the Purchasers are payable in the United States or taxing authority thereof or therein in connection with the sale and delivery by the Company of the Securities to or for the sale and delivery by the Securities to the Purchasers.</w:t>
      </w:r>
    </w:p>
    <w:p>
      <w:pPr>
        <w:spacing w:after="0" w:line="179" w:lineRule="exact"/>
        <w:rPr>
          <w:rFonts w:ascii="Times New Roman" w:cs="Times New Roman" w:eastAsia="Times New Roman" w:hAnsi="Times New Roman"/>
          <w:sz w:val="18"/>
          <w:szCs w:val="18"/>
          <w:color w:val="auto"/>
        </w:rPr>
      </w:pPr>
    </w:p>
    <w:p>
      <w:pPr>
        <w:jc w:val="both"/>
        <w:ind w:firstLine="745"/>
        <w:spacing w:after="0" w:line="252" w:lineRule="auto"/>
        <w:tabs>
          <w:tab w:leader="none" w:pos="10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handling, use, treatment, disposal, discharge, emission, contamination, release or other activity involving any kind of hazardous, toxic or other wastes, pollutants, contaminants, petroleum products or other hazardous or toxic substances, chemicals or materials (“</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by, due to, on behalf of, or caused by the Company or any Subsidiary (or, to the Company’s knowledge, any other entity for whose acts or omissions the Company is or may be liable) upon any property now or previously owned, operated, used or leased by the Company or any Subsidiary, or upon any other property, which would be a violation of or give rise to any liability under any applicable law, rule, regulation, order, judgment, decree or permit, common law provision or other legally binding standard relating to pollution or protection of human health and the environment (“</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except for violations and liabilities which, individually or in the aggregate, would not have a Material Adverse Effect. There has been no disposal, discharge, emission contamination or other release of any kind at, onto or from any such property or into the environment surrounding any such property of any Hazardous Substances with respect to which the Company or any Subsidiary has knowledge, except as would not, individually or in the aggregate, have a Material Adverse Effect. There is no pending or, to the best of the Company’s knowledge, threatened administrative, regulatory or judicial action, claim or notice of noncompliance or violation, investigation or proceedings relating to any Environmental Law against the Company or any Subsidiary, except as would not, individually or in the aggregate, have a Material Adverse Effect. No property of the Company or any Subsidiary is subject to any Lien under any Environmental Law. Except as disclosed in the SEC Reports, neither the Company nor any Subsidiary is subject to any order, decree, agreement or other individualized legal requirement related to any Environmental Law, which, in any case (individually or in the aggregate), would have a Material Adverse Effect. The Company and each Subsidiary has all permits, authorizations and approvals required under any applicable Environmental Laws and are each in compliance with their requirements. In the ordinary course of its business, the Company periodically reviews the effect of Environmental Laws on the business, operations and properties of the Company and the Subsidiaries, in the course of which it identifies and evaluates associated costs and liabilities (including, without limitation, any capital or operating expenditures required for clean-up, closure or remediation of properties or</w:t>
      </w:r>
    </w:p>
    <w:p>
      <w:pPr>
        <w:spacing w:after="0" w:line="18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33" w:name="page34"/>
    <w:bookmarkEnd w:id="33"/>
    <w:p>
      <w:pPr>
        <w:jc w:val="both"/>
        <w:ind w:left="3"/>
        <w:spacing w:after="0" w:line="266" w:lineRule="auto"/>
        <w:rPr>
          <w:sz w:val="20"/>
          <w:szCs w:val="20"/>
          <w:color w:val="auto"/>
        </w:rPr>
      </w:pPr>
      <w:r>
        <w:rPr>
          <w:rFonts w:ascii="Times New Roman" w:cs="Times New Roman" w:eastAsia="Times New Roman" w:hAnsi="Times New Roman"/>
          <w:sz w:val="18"/>
          <w:szCs w:val="18"/>
          <w:color w:val="auto"/>
        </w:rPr>
        <w:t>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individually or in the aggregate, have a Material Adverse Effect.</w:t>
      </w:r>
    </w:p>
    <w:p>
      <w:pPr>
        <w:spacing w:after="0" w:line="176" w:lineRule="exact"/>
        <w:rPr>
          <w:sz w:val="20"/>
          <w:szCs w:val="20"/>
          <w:color w:val="auto"/>
        </w:rPr>
      </w:pPr>
    </w:p>
    <w:p>
      <w:pPr>
        <w:jc w:val="both"/>
        <w:ind w:left="3" w:firstLine="745"/>
        <w:spacing w:after="0" w:line="253" w:lineRule="auto"/>
        <w:tabs>
          <w:tab w:leader="none" w:pos="121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3" w:right="20" w:firstLine="745"/>
        <w:spacing w:after="0" w:line="282" w:lineRule="auto"/>
        <w:tabs>
          <w:tab w:leader="none" w:pos="10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that has been or will be paid (directly or indirectly) remuneration for solicitation of purchasers in connection with the sale of any Securities.</w:t>
      </w:r>
    </w:p>
    <w:p>
      <w:pPr>
        <w:spacing w:after="0" w:line="161" w:lineRule="exact"/>
        <w:rPr>
          <w:rFonts w:ascii="Times New Roman" w:cs="Times New Roman" w:eastAsia="Times New Roman" w:hAnsi="Times New Roman"/>
          <w:sz w:val="18"/>
          <w:szCs w:val="18"/>
          <w:color w:val="auto"/>
        </w:rPr>
      </w:pPr>
    </w:p>
    <w:p>
      <w:pPr>
        <w:jc w:val="both"/>
        <w:ind w:left="3" w:firstLine="745"/>
        <w:spacing w:after="0" w:line="256" w:lineRule="auto"/>
        <w:tabs>
          <w:tab w:leader="none" w:pos="11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Class A Ordinary Shares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left="3" w:firstLine="745"/>
        <w:spacing w:after="0" w:line="265" w:lineRule="auto"/>
        <w:tabs>
          <w:tab w:leader="none" w:pos="111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or the Placement Agency Agreement.</w:t>
      </w:r>
      <w:r>
        <w:rPr>
          <w:rFonts w:ascii="Times New Roman" w:cs="Times New Roman" w:eastAsia="Times New Roman" w:hAnsi="Times New Roman"/>
          <w:sz w:val="24"/>
          <w:szCs w:val="24"/>
          <w:color w:val="auto"/>
          <w:vertAlign w:val="superscript"/>
        </w:rPr>
        <w:t>1</w:t>
      </w:r>
    </w:p>
    <w:p>
      <w:pPr>
        <w:spacing w:after="0" w:line="103" w:lineRule="exact"/>
        <w:rPr>
          <w:rFonts w:ascii="Times New Roman" w:cs="Times New Roman" w:eastAsia="Times New Roman" w:hAnsi="Times New Roman"/>
          <w:sz w:val="18"/>
          <w:szCs w:val="18"/>
          <w:color w:val="auto"/>
        </w:rPr>
      </w:pPr>
    </w:p>
    <w:p>
      <w:pPr>
        <w:jc w:val="both"/>
        <w:ind w:left="3" w:firstLine="745"/>
        <w:spacing w:after="0" w:line="257" w:lineRule="auto"/>
        <w:tabs>
          <w:tab w:leader="none" w:pos="10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To the Company’s knowledge: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3" w:hanging="3"/>
        <w:spacing w:after="0" w:line="252" w:lineRule="auto"/>
        <w:tabs>
          <w:tab w:leader="none" w:pos="28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50800</wp:posOffset>
            </wp:positionV>
            <wp:extent cx="168846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621665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34" w:name="page35"/>
    <w:bookmarkEnd w:id="34"/>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Except as would not, individual or in the aggregate, have a material adverse effect: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to the knowledge of the Company, (i)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200" w:lineRule="exact"/>
        <w:rPr>
          <w:sz w:val="20"/>
          <w:szCs w:val="20"/>
          <w:color w:val="auto"/>
        </w:rPr>
      </w:pPr>
    </w:p>
    <w:p>
      <w:pPr>
        <w:spacing w:after="0" w:line="20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760" w:firstLine="745"/>
        <w:spacing w:after="0" w:line="253" w:lineRule="auto"/>
        <w:tabs>
          <w:tab w:leader="none" w:pos="17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760" w:firstLine="745"/>
        <w:spacing w:after="0" w:line="258" w:lineRule="auto"/>
        <w:tabs>
          <w:tab w:leader="none" w:pos="17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83" w:lineRule="exact"/>
        <w:rPr>
          <w:rFonts w:ascii="Times New Roman" w:cs="Times New Roman" w:eastAsia="Times New Roman" w:hAnsi="Times New Roman"/>
          <w:sz w:val="18"/>
          <w:szCs w:val="18"/>
          <w:color w:val="auto"/>
        </w:rPr>
      </w:pPr>
    </w:p>
    <w:p>
      <w:pPr>
        <w:jc w:val="both"/>
        <w:ind w:left="760" w:firstLine="745"/>
        <w:spacing w:after="0" w:line="266" w:lineRule="auto"/>
        <w:tabs>
          <w:tab w:leader="none" w:pos="1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either: (i) an “accredited investor” as defined in Rule 501(a)(1), (a)(2), (a)(3), (a)(7), (a)(8), (a)(9), (a)(12) or (a)(13) under the Securities Act or (ii) a “qualified institutional buyer” as defined in Rule 144A(a) under the Securities Act.</w:t>
      </w:r>
    </w:p>
    <w:p>
      <w:pPr>
        <w:spacing w:after="0" w:line="175" w:lineRule="exact"/>
        <w:rPr>
          <w:rFonts w:ascii="Times New Roman" w:cs="Times New Roman" w:eastAsia="Times New Roman" w:hAnsi="Times New Roman"/>
          <w:sz w:val="18"/>
          <w:szCs w:val="18"/>
          <w:color w:val="auto"/>
        </w:rPr>
      </w:pPr>
    </w:p>
    <w:p>
      <w:pPr>
        <w:jc w:val="both"/>
        <w:ind w:left="760" w:firstLine="745"/>
        <w:spacing w:after="0" w:line="261" w:lineRule="auto"/>
        <w:tabs>
          <w:tab w:leader="none" w:pos="17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jc w:val="both"/>
        <w:ind w:left="760" w:firstLine="745"/>
        <w:spacing w:after="0" w:line="253" w:lineRule="auto"/>
        <w:tabs>
          <w:tab w:leader="none" w:pos="1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89" w:lineRule="exact"/>
        <w:rPr>
          <w:rFonts w:ascii="Times New Roman" w:cs="Times New Roman" w:eastAsia="Times New Roman" w:hAnsi="Times New Roman"/>
          <w:sz w:val="18"/>
          <w:szCs w:val="18"/>
          <w:color w:val="auto"/>
        </w:rPr>
      </w:pPr>
    </w:p>
    <w:p>
      <w:pPr>
        <w:jc w:val="both"/>
        <w:ind w:left="760" w:firstLine="745"/>
        <w:spacing w:after="0" w:line="252" w:lineRule="auto"/>
        <w:tabs>
          <w:tab w:leader="none" w:pos="174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(A) in the case of a Purchaser that is a multi-managed investment vehicle whereby separate portfolio managers manage separate portions of such Purchaser’s assets, the representation set forth above shall only apply with respect to the portion of assets managed by the portfolio manager that made the investment decision to purchase the Securities covered by this Agreement, and (B) in the case of a Purchaser that has implemented internal information barriers pursuant to information controls policy to “wall-off” certain trading personnel, the representations set forth above shall only apply to such walled-off trading personnel.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each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Shares shall be issued free of all restrictive legends.</w:t>
      </w:r>
    </w:p>
    <w:p>
      <w:pPr>
        <w:spacing w:after="0" w:line="2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time that no Purchaser owns Securities, the Company covenants to maintain the registration of the Class A Ordinary Shares under Section 12(b) or 12(g) of the Exchange Act and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jc w:val="both"/>
        <w:ind w:firstLine="794"/>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each Purchaser that it shall have publicly disclosed all material, non-public information delivered to each Purchaser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each Purchaser or any of its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such Purchaser, or without the prior consent of such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each Purchaser with prior notice of such disclosure permitted under this clause (b) and reasonably cooperate with such Purchaser regarding such disclosure.</w:t>
      </w:r>
    </w:p>
    <w:p>
      <w:pPr>
        <w:spacing w:after="0" w:line="19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xml:space="preserve">.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or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including, without limitation, the Placement Agent, or a duty to the Company, any of its Subsidiaries or any of their respective officers, directors, agents, employees or Affiliates, including, without limitation, the Placement Agent, not to trade on the basis of, such material, non-public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Purchasers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Company understands and confirms that each Purchaser shall be relying on the foregoing covenant in effecting transactions in securities of the Company.</w:t>
      </w:r>
    </w:p>
    <w:p>
      <w:pPr>
        <w:spacing w:after="0" w:line="2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as described in the Prospectus Supplement and shall not use such proceeds: (a) for the satisfaction of any portion of the Company’s debt (other than payment of trade payables in the ordinary course of the Company’s business and prior practices and as described in the Prospectus Supplement), (b) for the redemption of any Class A Ordinary Shares or Ordinary Share Equivalents, (c) for the settlement of any outstanding litigation or (d) in violation of FCPA or OFAC regulations.</w:t>
      </w:r>
    </w:p>
    <w:p>
      <w:pPr>
        <w:spacing w:after="0" w:line="18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to the fullest extent permitted by applicable law, and hold each Purchaser and its directors, officers, shareholders, members, partners, investment managers,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investment managers,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a Purchaser Party in any capacity (including a Purchaser Party’s status as an investor), or any of them or their respective Affiliates, by the Company or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except with respect to direct claims brought by the Company,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reasonably acceptable to the Purchaser or (iii) in such action there is, in the reasonable opinion of counsel to the applicable Purchaser Party (which may be internal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made by the Purchaser in this Agreement. Company shall not, without the prior written consent of the Purchaser Party, effect any settlement of any pending or threatened action or proceeding in respect of which any Purchaser Party is or could have been a party and indemnity could have been sought hereunder by such Purchaser Party, unless such settlement includes an unconditional release of such Purchaser Party from all liability on claims that are the subject matter of such proceeding and does not include any statements as to, or any findings of, fault, culpability or failure to act by or on behalf of any Purchaser Party. In addition, if any Purchaser Party takes actions to collect amounts due under any Transaction Documents or to enforce the provisions of any Transaction Documents, then the Company shall pay the costs incurred by such Purchaser Party for such collection, enforcement or action, including, but not limited to, attorneys’ fees and disbursements. The indemnification and other payment obligations required by this Section 4.8 shall be made by periodic payments of the amount thereof during the course of the investigation, defense, collection, enforcement or action,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Ordinary Shares</w:t>
      </w:r>
      <w:r>
        <w:rPr>
          <w:rFonts w:ascii="Times New Roman" w:cs="Times New Roman" w:eastAsia="Times New Roman" w:hAnsi="Times New Roman"/>
          <w:sz w:val="18"/>
          <w:szCs w:val="18"/>
          <w:color w:val="auto"/>
        </w:rPr>
        <w:t>. As of the date hereof, the Company has reserved, free of preemptive rights, a sufficient number of Class A Ordinary Shares for the purpose of enabling the Company to issue Shares pursuant to this Agreement.</w:t>
      </w:r>
    </w:p>
    <w:p>
      <w:pPr>
        <w:spacing w:after="0" w:line="16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Shares</w:t>
      </w:r>
      <w:r>
        <w:rPr>
          <w:rFonts w:ascii="Times New Roman" w:cs="Times New Roman" w:eastAsia="Times New Roman" w:hAnsi="Times New Roman"/>
          <w:sz w:val="18"/>
          <w:szCs w:val="18"/>
          <w:color w:val="auto"/>
        </w:rPr>
        <w:t>. The Company hereby agrees to use its commercially reasonable efforts to maintain the listing or quotation of the Class A Ordinary Shares on the Trading Market on which it is currently listed, and concurrently with the Closing, the Company shall submit a listing of additional shares notification form to the such Trading Market with respect to the Shares. The Company further agrees, if the Company applies to have the Class A Ordinary Shares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Class A Ordinary Shares on a Trading Market and will comply in all respects with the Company’s reporting, filing and other obligations under the bylaws or rules of the Trading Market. The Company agrees to use commercially reasonable efforts to maintain the eligibility of the Class A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Subsequent Equity Sales.</w:t>
      </w:r>
    </w:p>
    <w:p>
      <w:pPr>
        <w:spacing w:after="0" w:line="225" w:lineRule="exact"/>
        <w:rPr>
          <w:sz w:val="20"/>
          <w:szCs w:val="20"/>
          <w:color w:val="auto"/>
        </w:rPr>
      </w:pPr>
    </w:p>
    <w:p>
      <w:pPr>
        <w:jc w:val="both"/>
        <w:ind w:firstLine="757"/>
        <w:spacing w:after="0" w:line="261" w:lineRule="auto"/>
        <w:tabs>
          <w:tab w:leader="none" w:pos="9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30 days after the Closing Date, neither the Company nor any Subsidiary shall (i) issue, enter into any agreement to issue or announce the issuance or proposed issuance of any Class A Ordinary Shares or Ordinary Share Equivalents or (ii) file any registration statement or amendment or supplement thereto, other than the Prospectus Supplement or filing a registration statement on Form S-8 in connection with any employee benefit plan.</w:t>
      </w:r>
    </w:p>
    <w:p>
      <w:pPr>
        <w:spacing w:after="0" w:line="179"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000" w:hanging="24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w:t>
      </w:r>
    </w:p>
    <w:p>
      <w:pPr>
        <w:spacing w:after="0" w:line="22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(A) in the case of a Purchaser that is a multi-managed investment vehicle whereby separate portfolio managers manage separate portions of such Purchaser’s assets, the covenant set forth above shall only apply with respect to the portion of assets managed by the portfolio manager that made the investment decision to purchase the Securities covered by this Agreement, and (B) in the case of a Purchaser that has implemented internal information barriers pursuant to information controls policy to “wall-off” certain trading personnel, this Section 4.12 shall apply only with respect to activities of such walled-off trading personnel.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xml:space="preserve"> No consideration (including any modification of any Transaction Document) shall be offered or paid to any Person to amend or consent to a waiver or modification of any provision of the Transaction Documents unless the same consideration is also offered to all Purchasers.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Securities may result in dilution of the outstanding Class A Ordinary Shares, which dilution may be substantial under certain market conditions. The Company further acknowledges that its obligations under the Transaction Documents, including, without limitation, its obligation to issue the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Capital Changes</w:t>
      </w:r>
      <w:r>
        <w:rPr>
          <w:rFonts w:ascii="Times New Roman" w:cs="Times New Roman" w:eastAsia="Times New Roman" w:hAnsi="Times New Roman"/>
          <w:sz w:val="18"/>
          <w:szCs w:val="18"/>
          <w:color w:val="auto"/>
        </w:rPr>
        <w:t>. Until the date that is twelve (12) months after the Closing Date, the Company shall not undertake a reverse or forward stock split or reclassification of the Class A Ordinary Shares without the prior written consent of the Purchasers holding a majority in interest of the Shares other than a reverse stock split that is required, in the good faith determination of the Board of Directors, to maintain the listing of the Class A Ordinary Shares on the Trading Market.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Company, if the Closing Date has not occurred on or</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before the fifth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9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stamp taxes and other taxes and duties levied in connection with the delivery of any Securities to the Purchasers.</w:t>
      </w:r>
    </w:p>
    <w:p>
      <w:pPr>
        <w:spacing w:after="0" w:line="183"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date of transmission, if such notice or communication is delivered via email attachment at the email address as set forth on the signature pages</w:t>
      </w:r>
    </w:p>
    <w:p>
      <w:pPr>
        <w:spacing w:after="0" w:line="3"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attached hereto on a day that is not a Trading Day or later than 5:30 p.m. (New York City time) on any Trading Day, (c) the second (2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Trading Day following the date of mailing, if sent by U.S. nationally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6-K.</w:t>
      </w:r>
    </w:p>
    <w:p>
      <w:pPr>
        <w:spacing w:after="0" w:line="18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fifty and one tenth percent (50.1%) in interest of the Securities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transferee agrees in writing to be bound, with respect to the transferred Securities, by the provisions of the Transaction Documents that apply to the “Purchaser” (other than in respect of a transfer pursuant to an effective registration statement).</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the Transaction Documents, then, in addition to the obligations of the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Company under Section 4.8, the prevailing party in such action, suit or proceeding shall be reimbursed by the non-prevailing party for its reasonable attorneys’ fees and other costs and expenses incurred with the investigation, preparation and prosecution of such action or proceeding.</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 for the applicable statute of limitations.</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18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Trading Day or Business Day, then such action may be taken or such right may be exercised on the next succeeding Trading Day or Business Day, as the case may be.</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Class A Ordinary Shares in any Transaction Document shall be subject to adjustment for reverse and forward stock splits, stock dividends, stock combinations and other similar transactions of the Class A Ordinary Shares that occur after the date of this Agreement.</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ind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XCHG LIMITED</w:t>
            </w:r>
          </w:p>
        </w:tc>
        <w:tc>
          <w:tcPr>
            <w:tcW w:w="6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Address for Notice:</w:t>
            </w:r>
          </w:p>
        </w:tc>
        <w:tc>
          <w:tcPr>
            <w:tcW w:w="0" w:type="dxa"/>
            <w:vAlign w:val="bottom"/>
          </w:tcPr>
          <w:p>
            <w:pPr>
              <w:spacing w:after="0"/>
              <w:rPr>
                <w:sz w:val="1"/>
                <w:szCs w:val="1"/>
                <w:color w:val="auto"/>
              </w:rPr>
            </w:pPr>
          </w:p>
        </w:tc>
      </w:tr>
      <w:tr>
        <w:trPr>
          <w:trHeight w:val="630"/>
        </w:trPr>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XCharge Europe GmbH, Heselstücken 18,</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6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22453 Hamburg, Germany</w:t>
            </w:r>
          </w:p>
        </w:tc>
        <w:tc>
          <w:tcPr>
            <w:tcW w:w="0" w:type="dxa"/>
            <w:vAlign w:val="bottom"/>
          </w:tcPr>
          <w:p>
            <w:pPr>
              <w:spacing w:after="0"/>
              <w:rPr>
                <w:sz w:val="1"/>
                <w:szCs w:val="1"/>
                <w:color w:val="auto"/>
              </w:rPr>
            </w:pPr>
          </w:p>
        </w:tc>
      </w:tr>
      <w:tr>
        <w:trPr>
          <w:trHeight w:val="41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spacing w:after="0"/>
              <w:rPr>
                <w:sz w:val="24"/>
                <w:szCs w:val="24"/>
                <w:color w:val="auto"/>
              </w:rPr>
            </w:pPr>
          </w:p>
        </w:tc>
        <w:tc>
          <w:tcPr>
            <w:tcW w:w="6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c/o</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XCharge Energy USA Inc, 19121 Marketplace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Avenue,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220" w:type="dxa"/>
            <w:vAlign w:val="bottom"/>
          </w:tcPr>
          <w:p>
            <w:pPr>
              <w:ind w:left="2720"/>
              <w:spacing w:after="0"/>
              <w:rPr>
                <w:sz w:val="20"/>
                <w:szCs w:val="20"/>
                <w:color w:val="auto"/>
              </w:rPr>
            </w:pPr>
            <w:r>
              <w:rPr>
                <w:rFonts w:ascii="Times New Roman" w:cs="Times New Roman" w:eastAsia="Times New Roman" w:hAnsi="Times New Roman"/>
                <w:sz w:val="18"/>
                <w:szCs w:val="18"/>
                <w:color w:val="auto"/>
                <w:w w:val="99"/>
              </w:rPr>
              <w:t>Building 2-Suite 2-145, Kyle, TX 78640, United</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6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States</w:t>
            </w:r>
          </w:p>
        </w:tc>
        <w:tc>
          <w:tcPr>
            <w:tcW w:w="0" w:type="dxa"/>
            <w:vAlign w:val="bottom"/>
          </w:tcPr>
          <w:p>
            <w:pPr>
              <w:spacing w:after="0"/>
              <w:rPr>
                <w:sz w:val="1"/>
                <w:szCs w:val="1"/>
                <w:color w:val="auto"/>
              </w:rPr>
            </w:pPr>
          </w:p>
        </w:tc>
      </w:tr>
      <w:tr>
        <w:trPr>
          <w:trHeight w:val="203"/>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3"/>
              </w:rPr>
              <w:t>Name:</w:t>
            </w:r>
          </w:p>
        </w:tc>
        <w:tc>
          <w:tcPr>
            <w:tcW w:w="14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tcPr>
          <w:p>
            <w:pPr>
              <w:spacing w:after="0"/>
              <w:rPr>
                <w:sz w:val="17"/>
                <w:szCs w:val="17"/>
                <w:color w:val="auto"/>
              </w:rPr>
            </w:pPr>
          </w:p>
        </w:tc>
        <w:tc>
          <w:tcPr>
            <w:tcW w:w="6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2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Yifei Hou</w:t>
            </w:r>
          </w:p>
        </w:tc>
        <w:tc>
          <w:tcPr>
            <w:tcW w:w="6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Co-Chief Executive Officer</w:t>
            </w: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PURCHASERS FOLLOWS]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color w:val="auto"/>
        </w:rPr>
        <w:t>[PURCHASERS SIGNATURE PAGES TO XCHG LIMITED SECURITIES PURCHASE AGREEMENT]</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jc w:val="center"/>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00" w:lineRule="exact"/>
        <w:rPr>
          <w:sz w:val="20"/>
          <w:szCs w:val="20"/>
          <w:color w:val="auto"/>
        </w:rPr>
      </w:pPr>
    </w:p>
    <w:p>
      <w:pPr>
        <w:spacing w:after="0" w:line="245" w:lineRule="exact"/>
        <w:rPr>
          <w:sz w:val="20"/>
          <w:szCs w:val="20"/>
          <w:color w:val="auto"/>
        </w:rPr>
      </w:pPr>
    </w:p>
    <w:p>
      <w:pPr>
        <w:ind w:left="380" w:hanging="378"/>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3,261,147,362 total Ordinary Shares outstanding which are equivalent to 81,528,684 ADS.</w:t>
      </w:r>
    </w:p>
    <w:p>
      <w:pPr>
        <w:spacing w:after="0" w:line="225"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580,296,320 floating Ordinary Shares which are equivalent to 14,507,408 ADS.</w:t>
      </w:r>
    </w:p>
    <w:p>
      <w:pPr>
        <w:spacing w:after="0" w:line="225"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breakdown of the floating shares in terms of ADS are as follows:</w:t>
      </w:r>
    </w:p>
    <w:p>
      <w:pPr>
        <w:spacing w:after="0" w:line="225" w:lineRule="exact"/>
        <w:rPr>
          <w:rFonts w:ascii="Times New Roman" w:cs="Times New Roman" w:eastAsia="Times New Roman" w:hAnsi="Times New Roman"/>
          <w:sz w:val="18"/>
          <w:szCs w:val="18"/>
          <w:color w:val="auto"/>
        </w:rPr>
      </w:pPr>
    </w:p>
    <w:p>
      <w:pPr>
        <w:ind w:left="1500" w:hanging="375"/>
        <w:spacing w:after="0"/>
        <w:tabs>
          <w:tab w:leader="none" w:pos="15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8,500,000 ADS reserved for the “at-the-market” program, such ADS being issued but reserved only and not yet freely traded;</w:t>
      </w:r>
    </w:p>
    <w:p>
      <w:pPr>
        <w:spacing w:after="0" w:line="236" w:lineRule="exact"/>
        <w:rPr>
          <w:rFonts w:ascii="Times New Roman" w:cs="Times New Roman" w:eastAsia="Times New Roman" w:hAnsi="Times New Roman"/>
          <w:sz w:val="17"/>
          <w:szCs w:val="17"/>
          <w:color w:val="auto"/>
        </w:rPr>
      </w:pPr>
    </w:p>
    <w:p>
      <w:pPr>
        <w:ind w:left="1500" w:hanging="375"/>
        <w:spacing w:after="0"/>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2,055,635 ADS converted from pre initial public offering investors’ holdings;</w:t>
      </w:r>
    </w:p>
    <w:p>
      <w:pPr>
        <w:spacing w:after="0" w:line="225" w:lineRule="exact"/>
        <w:rPr>
          <w:rFonts w:ascii="Times New Roman" w:cs="Times New Roman" w:eastAsia="Times New Roman" w:hAnsi="Times New Roman"/>
          <w:sz w:val="18"/>
          <w:szCs w:val="18"/>
          <w:color w:val="auto"/>
        </w:rPr>
      </w:pPr>
    </w:p>
    <w:p>
      <w:pPr>
        <w:ind w:left="1500" w:hanging="375"/>
        <w:spacing w:after="0"/>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489,550 ADS converted by the Company’s executive officers; and</w:t>
      </w:r>
    </w:p>
    <w:p>
      <w:pPr>
        <w:spacing w:after="0" w:line="225" w:lineRule="exact"/>
        <w:rPr>
          <w:rFonts w:ascii="Times New Roman" w:cs="Times New Roman" w:eastAsia="Times New Roman" w:hAnsi="Times New Roman"/>
          <w:sz w:val="18"/>
          <w:szCs w:val="18"/>
          <w:color w:val="auto"/>
        </w:rPr>
      </w:pPr>
    </w:p>
    <w:p>
      <w:pPr>
        <w:ind w:left="1380" w:hanging="255"/>
        <w:spacing w:after="0"/>
        <w:tabs>
          <w:tab w:leader="none" w:pos="13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3,462,223 ADS from the initial public offering fundraising, with such ADS being fully diversified among public investors.</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621665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700" w:top="1413" w:right="659" w:bottom="1440" w:gutter="0" w:footer="0" w:header="0"/>
        </w:sectPr>
      </w:pPr>
    </w:p>
    <w:bookmarkStart w:id="46" w:name="page47"/>
    <w:bookmarkEnd w:id="46"/>
    <w:p>
      <w:pPr>
        <w:ind w:left="1022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XCharge Announces Pricing of $4.375 Million Registered Direct Offering with a Single Global Institutional Investor</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HAMBURG, Germany and MUNICH, June 26, 2026 (GLOBE NEWSWIRE) -- XCHG Limited ("XCharge" or the "Company") (Nasdaq: XCH), an integrated EV charging and energy solutions company, today announced that it has entered into a securities purchase agreement with a single global institutional investor for the purchase and sale of 7,000,000 of the Company’s American depositary shares (the “ADSs”) in a registered direct offering. The gross proceeds from the offering are expected to be approximately $4.375 million, before deducting placement agent commissions and other offering expenses.</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closing of the offering is expected to occur on or about June 29, 2026, subject to the satisfaction of customary closing conditions. The Company intends to use the net proceeds from the offering for working capital and general corporate purposes.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A.G.P./Alliance Global Partners is acting as the sole placement agent for the offering.</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ADSs offered to the institutional investor described above are being offered pursuant to a registration statement on Form F-3 (File No. 333-292266) which was declared effective by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on January 29, 2026. The offering is being made only by means of a prospectus supplement and accompanying prospectus which are a part of the effective registration statement. A prospectus supplement and the accompanying prospectus relating to the registered direct offering will be filed with the SEC and will be available on the SEC's website at www.sec.gov. Additionally, when available, electronic copies of the prospectus supplement and the accompanying prospectus may be obtained from A.G.P./Alliance Global Partners, 590 Madison Avenue, 28th Floor, New York, NY 10022, or by telephone at (212) 624-2060, or by email at prospectus@allianceg.com.</w:t>
      </w:r>
    </w:p>
    <w:p>
      <w:pPr>
        <w:spacing w:after="0" w:line="19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This press release shall not constitute an offer to sell or the solicitation of an offer to buy any of the securities described herein,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4060F"/>
        </w:rPr>
        <w:t>About XCharge</w:t>
      </w:r>
    </w:p>
    <w:p>
      <w:pPr>
        <w:spacing w:after="0" w:line="23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04060F"/>
        </w:rPr>
        <w:t>XCharge (Nasdaq: XCH) is a global supplier of high-performance electric vehicle charging solutions and energy storage solutions. The Company has headquarters in Hamburg and Austin, working with a globally networked team to drive innovation in the field of energy and help its customers achieve long-term success.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4060F"/>
        </w:rPr>
        <w:t>Safe Harbor Statement</w:t>
      </w:r>
    </w:p>
    <w:p>
      <w:pPr>
        <w:spacing w:after="0" w:line="23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04060F"/>
        </w:rPr>
        <w:t>This press release contains forward-looking statements. Such statements are made pursuant to the "safe harbor" provisions of the U.S. Private Securities Litigation Reform Act of 1995. Statements that are not historical facts, including statements about XCHG Limited's beliefs and expectations,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"objective," "target," "aim," "estimate," "intend," "plan," "believe," "potential," "continue," "is/are likely to" or other similar expressions. Further information regarding these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color w:val="04060F"/>
        </w:rPr>
        <w:t>risks, uncertainties or factors is included in XCHG Limited's filings with the United States Securities and Exchange Commission.</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04060F"/>
        </w:rPr>
        <w:t>All information provided in this press release is as of the date of this press release, and XCHG Limited does not undertake any duty to update such information, except as required under applicable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4060F"/>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4060F"/>
        </w:rPr>
        <w:t>XCharge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4060F"/>
        </w:rPr>
        <w:t>IR Department</w:t>
      </w:r>
    </w:p>
    <w:p>
      <w:pPr>
        <w:spacing w:after="0"/>
        <w:rPr>
          <w:sz w:val="20"/>
          <w:szCs w:val="20"/>
          <w:color w:val="auto"/>
        </w:rPr>
      </w:pPr>
      <w:r>
        <w:rPr>
          <w:rFonts w:ascii="Times New Roman" w:cs="Times New Roman" w:eastAsia="Times New Roman" w:hAnsi="Times New Roman"/>
          <w:sz w:val="20"/>
          <w:szCs w:val="20"/>
          <w:color w:val="04060F"/>
        </w:rPr>
        <w:t xml:space="preserve">Email: </w:t>
      </w:r>
      <w:r>
        <w:rPr>
          <w:rFonts w:ascii="Times New Roman" w:cs="Times New Roman" w:eastAsia="Times New Roman" w:hAnsi="Times New Roman"/>
          <w:sz w:val="20"/>
          <w:szCs w:val="20"/>
          <w:color w:val="000000"/>
        </w:rPr>
        <w:t>ir@xcharge.com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1"/>
    </w:lvl>
  </w:abstractNum>
  <w:abstractNum w:abstractNumId="1">
    <w:nsid w:val="4E6AFB66"/>
    <w:multiLevelType w:val="hybridMultilevel"/>
    <w:lvl w:ilvl="0">
      <w:lvlJc w:val="left"/>
      <w:lvlText w:val="%1."/>
      <w:numFmt w:val="upperLetter"/>
      <w:start w:val="1"/>
    </w:lvl>
  </w:abstractNum>
  <w:abstractNum w:abstractNumId="2">
    <w:nsid w:val="25E45D32"/>
    <w:multiLevelType w:val="hybridMultilevel"/>
    <w:lvl w:ilvl="0">
      <w:lvlJc w:val="left"/>
      <w:lvlText w:val="D"/>
      <w:numFmt w:val="bullet"/>
      <w:start w:val="1"/>
    </w:lvl>
  </w:abstractNum>
  <w:abstractNum w:abstractNumId="3">
    <w:nsid w:val="519B500D"/>
    <w:multiLevelType w:val="hybridMultilevel"/>
    <w:lvl w:ilvl="0">
      <w:lvlJc w:val="left"/>
      <w:lvlText w:val="%1."/>
      <w:numFmt w:val="upperLetter"/>
      <w:start w:val="5"/>
    </w:lvl>
  </w:abstractNum>
  <w:abstractNum w:abstractNumId="4">
    <w:nsid w:val="431BD7B7"/>
    <w:multiLevelType w:val="hybridMultilevel"/>
    <w:lvl w:ilvl="0">
      <w:lvlJc w:val="left"/>
      <w:lvlText w:val="%1."/>
      <w:numFmt w:val="upperLetter"/>
      <w:start w:val="1"/>
    </w:lvl>
  </w:abstractNum>
  <w:abstractNum w:abstractNumId="5">
    <w:nsid w:val="3F2DBA31"/>
    <w:multiLevelType w:val="hybridMultilevel"/>
    <w:lvl w:ilvl="0">
      <w:lvlJc w:val="left"/>
      <w:lvlText w:val="1"/>
      <w:numFmt w:val="bullet"/>
      <w:start w:val="1"/>
    </w:lvl>
  </w:abstractNum>
  <w:abstractNum w:abstractNumId="6">
    <w:nsid w:val="7C83E458"/>
    <w:multiLevelType w:val="hybridMultilevel"/>
    <w:lvl w:ilvl="0">
      <w:lvlJc w:val="left"/>
      <w:lvlText w:val="2"/>
      <w:numFmt w:val="bullet"/>
      <w:start w:val="1"/>
    </w:lvl>
  </w:abstractNum>
  <w:abstractNum w:abstractNumId="7">
    <w:nsid w:val="257130A3"/>
    <w:multiLevelType w:val="hybridMultilevel"/>
    <w:lvl w:ilvl="0">
      <w:lvlJc w:val="left"/>
      <w:lvlText w:val="3"/>
      <w:numFmt w:val="bullet"/>
      <w:start w:val="1"/>
    </w:lvl>
  </w:abstractNum>
  <w:abstractNum w:abstractNumId="8">
    <w:nsid w:val="62BBD95A"/>
    <w:multiLevelType w:val="hybridMultilevel"/>
    <w:lvl w:ilvl="0">
      <w:lvlJc w:val="left"/>
      <w:lvlText w:val="4"/>
      <w:numFmt w:val="bullet"/>
      <w:start w:val="1"/>
    </w:lvl>
  </w:abstractNum>
  <w:abstractNum w:abstractNumId="9">
    <w:nsid w:val="436C6125"/>
    <w:multiLevelType w:val="hybridMultilevel"/>
    <w:lvl w:ilvl="0">
      <w:lvlJc w:val="left"/>
      <w:lvlText w:val="(%1)"/>
      <w:numFmt w:val="lowerLetter"/>
      <w:start w:val="1"/>
    </w:lvl>
    <w:lvl w:ilvl="1">
      <w:lvlJc w:val="left"/>
      <w:lvlText w:val="(%2)"/>
      <w:numFmt w:val="lowerLetter"/>
      <w:start w:val="9"/>
    </w:lvl>
  </w:abstractNum>
  <w:abstractNum w:abstractNumId="10">
    <w:nsid w:val="628C895D"/>
    <w:multiLevelType w:val="hybridMultilevel"/>
    <w:lvl w:ilvl="0">
      <w:lvlJc w:val="left"/>
      <w:lvlText w:val="%1"/>
      <w:numFmt w:val="lowerLetter"/>
      <w:start w:val="1"/>
    </w:lvl>
    <w:lvl w:ilvl="1">
      <w:lvlJc w:val="left"/>
      <w:lvlText w:val="(%2)"/>
      <w:numFmt w:val="lowerRoman"/>
      <w:start w:val="2"/>
    </w:lvl>
  </w:abstractNum>
  <w:abstractNum w:abstractNumId="11">
    <w:nsid w:val="333AB105"/>
    <w:multiLevelType w:val="hybridMultilevel"/>
    <w:lvl w:ilvl="0">
      <w:lvlJc w:val="left"/>
      <w:lvlText w:val="(%1)"/>
      <w:numFmt w:val="lowerLetter"/>
      <w:start w:val="2"/>
    </w:lvl>
    <w:lvl w:ilvl="1">
      <w:lvlJc w:val="left"/>
      <w:lvlText w:val="(%2)"/>
      <w:numFmt w:val="lowerRoman"/>
      <w:start w:val="1"/>
    </w:lvl>
  </w:abstractNum>
  <w:abstractNum w:abstractNumId="12">
    <w:nsid w:val="721DA317"/>
    <w:multiLevelType w:val="hybridMultilevel"/>
    <w:lvl w:ilvl="0">
      <w:lvlJc w:val="left"/>
      <w:lvlText w:val="(%1)"/>
      <w:numFmt w:val="lowerLetter"/>
      <w:start w:val="1"/>
    </w:lvl>
    <w:lvl w:ilvl="1">
      <w:lvlJc w:val="left"/>
      <w:lvlText w:val="(%2)"/>
      <w:numFmt w:val="lowerRoman"/>
      <w:start w:val="1"/>
    </w:lvl>
  </w:abstractNum>
  <w:abstractNum w:abstractNumId="13">
    <w:nsid w:val="2443A858"/>
    <w:multiLevelType w:val="hybridMultilevel"/>
    <w:lvl w:ilvl="0">
      <w:lvlJc w:val="left"/>
      <w:lvlText w:val="(%1)"/>
      <w:numFmt w:val="lowerRoman"/>
      <w:start w:val="2"/>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lowerLetter"/>
      <w:start w:val="3"/>
    </w:lvl>
  </w:abstractNum>
  <w:abstractNum w:abstractNumId="16">
    <w:nsid w:val="75A2A8D4"/>
    <w:multiLevelType w:val="hybridMultilevel"/>
    <w:lvl w:ilvl="0">
      <w:lvlJc w:val="left"/>
      <w:lvlText w:val="(%1)"/>
      <w:numFmt w:val="lowerLetter"/>
      <w:start w:val="6"/>
    </w:lvl>
  </w:abstractNum>
  <w:abstractNum w:abstractNumId="17">
    <w:nsid w:val="8EDBDAB"/>
    <w:multiLevelType w:val="hybridMultilevel"/>
    <w:lvl w:ilvl="0">
      <w:lvlJc w:val="left"/>
      <w:lvlText w:val="(%1)"/>
      <w:numFmt w:val="lowerLetter"/>
      <w:start w:val="8"/>
    </w:lvl>
  </w:abstractNum>
  <w:abstractNum w:abstractNumId="18">
    <w:nsid w:val="79838CB2"/>
    <w:multiLevelType w:val="hybridMultilevel"/>
    <w:lvl w:ilvl="0">
      <w:lvlJc w:val="left"/>
      <w:lvlText w:val="(%1)"/>
      <w:numFmt w:val="lowerLetter"/>
      <w:start w:val="11"/>
    </w:lvl>
  </w:abstractNum>
  <w:abstractNum w:abstractNumId="19">
    <w:nsid w:val="4353D0CD"/>
    <w:multiLevelType w:val="hybridMultilevel"/>
    <w:lvl w:ilvl="0">
      <w:lvlJc w:val="left"/>
      <w:lvlText w:val="(%1)"/>
      <w:numFmt w:val="lowerLetter"/>
      <w:start w:val="16"/>
    </w:lvl>
  </w:abstractNum>
  <w:abstractNum w:abstractNumId="20">
    <w:nsid w:val="B03E0C6"/>
    <w:multiLevelType w:val="hybridMultilevel"/>
    <w:lvl w:ilvl="0">
      <w:lvlJc w:val="left"/>
      <w:lvlText w:val="(%1)"/>
      <w:numFmt w:val="lowerLetter"/>
      <w:start w:val="19"/>
    </w:lvl>
  </w:abstractNum>
  <w:abstractNum w:abstractNumId="21">
    <w:nsid w:val="189A769B"/>
    <w:multiLevelType w:val="hybridMultilevel"/>
    <w:lvl w:ilvl="0">
      <w:lvlJc w:val="left"/>
      <w:lvlText w:val="(%1)"/>
      <w:numFmt w:val="lowerLetter"/>
      <w:start w:val="25"/>
    </w:lvl>
  </w:abstractNum>
  <w:abstractNum w:abstractNumId="22">
    <w:nsid w:val="54E49EB4"/>
    <w:multiLevelType w:val="hybridMultilevel"/>
    <w:lvl w:ilvl="0">
      <w:lvlJc w:val="left"/>
      <w:lvlText w:val="(%1)"/>
      <w:numFmt w:val="lowerLetter"/>
      <w:start w:val="27"/>
    </w:lvl>
  </w:abstractNum>
  <w:abstractNum w:abstractNumId="23">
    <w:nsid w:val="71F32454"/>
    <w:multiLevelType w:val="hybridMultilevel"/>
    <w:lvl w:ilvl="0">
      <w:lvlJc w:val="left"/>
      <w:lvlText w:val="(%1)"/>
      <w:numFmt w:val="lowerLetter"/>
      <w:start w:val="28"/>
    </w:lvl>
  </w:abstractNum>
  <w:abstractNum w:abstractNumId="24">
    <w:nsid w:val="2CA88611"/>
    <w:multiLevelType w:val="hybridMultilevel"/>
    <w:lvl w:ilvl="0">
      <w:lvlJc w:val="left"/>
      <w:lvlText w:val="(%1)"/>
      <w:numFmt w:val="lowerLetter"/>
      <w:start w:val="34"/>
    </w:lvl>
  </w:abstractNum>
  <w:abstractNum w:abstractNumId="25">
    <w:nsid w:val="836C40E"/>
    <w:multiLevelType w:val="hybridMultilevel"/>
    <w:lvl w:ilvl="0">
      <w:lvlJc w:val="left"/>
      <w:lvlText w:val="%1"/>
      <w:numFmt w:val="lowerLetter"/>
      <w:start w:val="1"/>
    </w:lvl>
    <w:lvl w:ilvl="1">
      <w:lvlJc w:val="left"/>
      <w:lvlText w:val="(%2)"/>
      <w:numFmt w:val="lowerLetter"/>
      <w:start w:val="39"/>
    </w:lvl>
  </w:abstractNum>
  <w:abstractNum w:abstractNumId="26">
    <w:nsid w:val="2901D82"/>
    <w:multiLevelType w:val="hybridMultilevel"/>
    <w:lvl w:ilvl="0">
      <w:lvlJc w:val="left"/>
      <w:lvlText w:val="(%1)"/>
      <w:numFmt w:val="lowerLetter"/>
      <w:start w:val="35"/>
    </w:lvl>
    <w:lvl w:ilvl="1">
      <w:lvlJc w:val="left"/>
      <w:lvlText w:val="%2"/>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5"/>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2026-06-29T15:18:40Z</dcterms:created>
  <dcterms:modified xsi:type="dcterms:W3CDTF">2026-06-29T15:18:40Z</dcterms:modified>
</cp:coreProperties>
</file>