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6"/>
        </w:rPr>
      </w:pPr>
      <w:bookmarkStart w:id="0" w:name="regains_compliance.htm"/>
      <w:bookmarkStart w:id="1" w:name="ksregains_complianc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September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Commission file number: 001-42208</w:t>
      </w:r>
    </w:p>
    <w:p>
      <w:pPr>
        <w:pStyle w:val="TextBody"/>
        <w:bidi w:val="0"/>
        <w:spacing w:before="240" w:after="283"/>
        <w:jc w:val="center"/>
        <w:rPr>
          <w:rFonts w:ascii="Times New Roman" w:hAnsi="Times New Roman"/>
          <w:b/>
          <w:color w:val="000000"/>
          <w:sz w:val="40"/>
        </w:rPr>
      </w:pPr>
      <w:r>
        <w:rPr>
          <w:rFonts w:ascii="Times New Roman" w:hAnsi="Times New Roman"/>
          <w:b/>
          <w:color w:val="000000"/>
          <w:sz w:val="40"/>
        </w:rPr>
        <w:t>XCHG Limited</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XCharge Europe GmbH, Heselstücken 18,</w:t>
      </w:r>
    </w:p>
    <w:p>
      <w:pPr>
        <w:pStyle w:val="TextBody"/>
        <w:bidi w:val="0"/>
        <w:jc w:val="center"/>
        <w:rPr>
          <w:rFonts w:ascii="Times New Roman" w:hAnsi="Times New Roman"/>
          <w:b/>
          <w:color w:val="000000"/>
          <w:sz w:val="20"/>
        </w:rPr>
      </w:pPr>
      <w:r>
        <w:rPr>
          <w:rFonts w:ascii="Times New Roman" w:hAnsi="Times New Roman"/>
          <w:b/>
          <w:color w:val="000000"/>
          <w:sz w:val="20"/>
        </w:rPr>
        <w:t>22453 Hamburg, Germany</w:t>
      </w:r>
    </w:p>
    <w:p>
      <w:pPr>
        <w:pStyle w:val="TextBody"/>
        <w:bidi w:val="0"/>
        <w:jc w:val="center"/>
        <w:rPr>
          <w:rFonts w:ascii="Times New Roman" w:hAnsi="Times New Roman"/>
          <w:b/>
          <w:color w:val="000000"/>
          <w:sz w:val="20"/>
        </w:rPr>
      </w:pPr>
      <w:r>
        <w:rPr>
          <w:rFonts w:ascii="Times New Roman" w:hAnsi="Times New Roman"/>
          <w:b/>
          <w:color w:val="000000"/>
          <w:sz w:val="20"/>
        </w:rPr>
        <w:t>XCharge Energy USA Inc, 19121 Marketplace Avenue,</w:t>
      </w:r>
    </w:p>
    <w:p>
      <w:pPr>
        <w:pStyle w:val="TextBody"/>
        <w:bidi w:val="0"/>
        <w:jc w:val="center"/>
        <w:rPr>
          <w:rFonts w:ascii="Times New Roman" w:hAnsi="Times New Roman"/>
          <w:sz w:val="20"/>
        </w:rPr>
      </w:pPr>
      <w:r>
        <w:rPr>
          <w:rFonts w:ascii="Times New Roman" w:hAnsi="Times New Roman"/>
          <w:b/>
          <w:color w:val="000000"/>
          <w:sz w:val="20"/>
        </w:rPr>
        <w:t>Building 2-Suite 2-145, Kyle, TX 78640, United States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single" w:sz="8" w:space="1" w:color="80808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 w:after="283"/>
        <w:jc w:val="center"/>
        <w:rPr>
          <w:rFonts w:ascii="Times New Roman" w:hAnsi="Times New Roman"/>
          <w:b/>
          <w:color w:val="000000"/>
          <w:sz w:val="20"/>
        </w:rPr>
      </w:pPr>
      <w:r>
        <w:rPr>
          <w:rFonts w:ascii="Times New Roman" w:hAnsi="Times New Roman"/>
          <w:b/>
          <w:color w:val="000000"/>
          <w:sz w:val="20"/>
        </w:rPr>
        <w:t>XCHG Limited Regains Compliance with Nasdaq Minimum Bid Price Requirement</w:t>
      </w:r>
    </w:p>
    <w:p>
      <w:pPr>
        <w:pStyle w:val="TextBody"/>
        <w:bidi w:val="0"/>
        <w:spacing w:before="238" w:after="283"/>
        <w:jc w:val="both"/>
        <w:rPr>
          <w:rFonts w:ascii="Times New Roman" w:hAnsi="Times New Roman"/>
          <w:color w:val="000000"/>
          <w:sz w:val="21"/>
        </w:rPr>
      </w:pPr>
      <w:r>
        <w:rPr>
          <w:rFonts w:ascii="Times New Roman" w:hAnsi="Times New Roman"/>
          <w:color w:val="000000"/>
          <w:sz w:val="21"/>
        </w:rPr>
        <w:t xml:space="preserve">As previously disclosed, on June 24, 2026, XCHG Limited (the “Company”) received a written notice from the Listing Qualifications Department of The Nasdaq Stock Market LLC (“Nasdaq”) notifying that the Company was not in compliance with Nasdaq Listing Rule 5450(a)(1) (the “Minimum Bid Price Requirement”), because, for a period of 30 consecutive business days, the Company’s American Depositary Shares (“ADSs”) failed to maintain a minimum bid price of $1.00 per ADS. According to Nasdaq Listing Rule 5810(c)(3)(A), the Company was given a period of 180 calendar days, or until December 21, 2026, to regain compliance with the Minimum Bid Price Requirement for a minimum of 10 consecutive business days. </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On September 8, 2026, the Company received a letter from Nasdaq stating that the Company has regained compliance with the Minimum Bid Price Requirement by maintaining a minimum closing bid price of the ADSs of $1.00 or greater per ADS for the last 10 consecutive business days, from August 24, 2026 to September 4, 2026, and that this matter is now closed.</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The information contained in this Report on Form 6-K, including Exhibit 99.1 hereto, is hereby incorporated by reference into the Company’s registration statement on Form F-3 (File No. 333-292266) and S-8 (Registration No. 333-294184).</w:t>
      </w:r>
    </w:p>
    <w:p>
      <w:pPr>
        <w:pStyle w:val="TextBody"/>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rFonts w:ascii="Times New Roman" w:hAnsi="Times New Roman"/>
          <w:b/>
          <w:color w:val="000000"/>
          <w:sz w:val="20"/>
        </w:rPr>
      </w:pPr>
      <w:r>
        <w:rPr>
          <w:rFonts w:ascii="Times New Roman" w:hAnsi="Times New Roman"/>
          <w:b/>
          <w:color w:val="000000"/>
          <w:sz w:val="20"/>
        </w:rPr>
        <w:t>Exhibit No. Description</w:t>
      </w:r>
    </w:p>
    <w:p>
      <w:pPr>
        <w:pStyle w:val="TextBody"/>
        <w:bidi w:val="0"/>
        <w:jc w:val="left"/>
        <w:rPr/>
      </w:pPr>
      <w:r>
        <w:rPr/>
        <w:t> </w:t>
      </w:r>
    </w:p>
    <w:p>
      <w:pPr>
        <w:pStyle w:val="TextBody"/>
        <w:bidi w:val="0"/>
        <w:jc w:val="left"/>
        <w:rPr/>
      </w:pPr>
      <w:r>
        <w:rPr>
          <w:rFonts w:ascii="Times New Roman" w:hAnsi="Times New Roman"/>
          <w:color w:val="000000"/>
          <w:sz w:val="20"/>
        </w:rPr>
        <w:t xml:space="preserve">99.1 </w:t>
      </w:r>
      <w:hyperlink w:anchor="ck0001979887-ex99_1.htm">
        <w:r>
          <w:rPr>
            <w:rStyle w:val="InternetLink"/>
            <w:rFonts w:ascii="Times New Roman" w:hAnsi="Times New Roman"/>
            <w:color w:val="0000FF"/>
            <w:sz w:val="20"/>
            <w:u w:val="single"/>
          </w:rPr>
          <w:t>Press Release</w:t>
        </w:r>
      </w:hyperlink>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824" w:type="dxa"/>
        <w:jc w:val="left"/>
        <w:tblInd w:w="0" w:type="dxa"/>
        <w:tblLayout w:type="fixed"/>
        <w:tblCellMar>
          <w:top w:w="28" w:type="dxa"/>
          <w:left w:w="28" w:type="dxa"/>
          <w:bottom w:w="28" w:type="dxa"/>
          <w:right w:w="28" w:type="dxa"/>
        </w:tblCellMar>
      </w:tblPr>
      <w:tblGrid>
        <w:gridCol w:w="2116"/>
        <w:gridCol w:w="109"/>
        <w:gridCol w:w="109"/>
        <w:gridCol w:w="109"/>
        <w:gridCol w:w="406"/>
        <w:gridCol w:w="109"/>
        <w:gridCol w:w="2866"/>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XCHG Limited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Yifei Hou</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Yifei Hou</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Co-Chief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8"/>
        </w:rPr>
      </w:pPr>
      <w:bookmarkStart w:id="2" w:name="ck0001979887-ex99_1.htm"/>
      <w:bookmarkStart w:id="3" w:name="ksck0001979887ex99_1"/>
      <w:bookmarkEnd w:id="2"/>
      <w:bookmarkEnd w:id="3"/>
      <w:r>
        <w:rPr>
          <w:rFonts w:ascii="Times New Roman" w:hAnsi="Times New Roman"/>
          <w:b/>
          <w:color w:val="000000"/>
          <w:sz w:val="28"/>
        </w:rPr>
        <w:t>Exhibit 99.1</w:t>
      </w:r>
      <w:r>
        <w:br w:type="page"/>
      </w:r>
    </w:p>
    <w:p>
      <w:pPr>
        <w:pStyle w:val="TextBody"/>
        <w:bidi w:val="0"/>
        <w:jc w:val="righ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XCharge Regains Compliance with Nasdaq Minimum Bid Price Requirement</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HAMBURG, Germany and AUSTIN, Texas, September 9, 2026 (GLOBE NEWSWIRE) -- XCHG Limited (“XCharge” or the “Company”) (Nasdaq: XCH), a global provider in high-power EV charging solutions, today announced that the Company received a written compliance notification (the “Notification Letter”) from the Listing Qualifications Department of The Nasdaq Stock Market LLC (“Nasdaq”) on September 8, 2026, informing the Company that it has regained compliance with the minimum bid price requirement set forth in Nasdaq Listing Rule 5450(a)(1) (the “Minimum Bid Price Requirement”) for continued listing on Nasdaq.</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previously announced, on June 24, 2026, the Company was notified by Nasdaq that it was not in compliance with the Minimum Bid Price Requirement, as the closing bid price of the Company’s American Depositary Shares (“ADSs”) was below $1.00 per ADS for 30 consecutive business days. The Company was provided with a compliance period of 180 calendar days, or until December 21, 2026, to regain compliance with the Minimum Bid Price Requirement.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According to Nasdaq’s Notification Letter, the Company evidenced a closing bid price at or above $1.00 per ADS for 10 consecutive business days from August 24, 2026 to September 4, 2026. Thus, the Company has regained compliance with the Minimum Bid Price Requirement, and the deficiency matter has been closed by Nasdaq.</w:t>
      </w:r>
    </w:p>
    <w:p>
      <w:pPr>
        <w:pStyle w:val="TextBody"/>
        <w:bidi w:val="0"/>
        <w:jc w:val="both"/>
        <w:rPr/>
      </w:pPr>
      <w:r>
        <w:rPr/>
        <w:t> </w:t>
      </w:r>
    </w:p>
    <w:p>
      <w:pPr>
        <w:pStyle w:val="TextBody"/>
        <w:bidi w:val="0"/>
        <w:jc w:val="left"/>
        <w:rPr>
          <w:rFonts w:ascii="Times New Roman" w:hAnsi="Times New Roman"/>
          <w:b/>
          <w:color w:val="04060F"/>
          <w:sz w:val="22"/>
        </w:rPr>
      </w:pPr>
      <w:r>
        <w:rPr>
          <w:rFonts w:ascii="Times New Roman" w:hAnsi="Times New Roman"/>
          <w:b/>
          <w:color w:val="04060F"/>
          <w:sz w:val="22"/>
        </w:rPr>
        <w:t>About XCharge</w:t>
      </w:r>
    </w:p>
    <w:p>
      <w:pPr>
        <w:pStyle w:val="TextBody"/>
        <w:bidi w:val="0"/>
        <w:jc w:val="left"/>
        <w:rPr/>
      </w:pPr>
      <w:r>
        <w:rPr/>
        <w:t> </w:t>
      </w:r>
    </w:p>
    <w:p>
      <w:pPr>
        <w:pStyle w:val="TextBody"/>
        <w:bidi w:val="0"/>
        <w:jc w:val="left"/>
        <w:rPr>
          <w:rFonts w:ascii="Times New Roman" w:hAnsi="Times New Roman"/>
          <w:color w:val="04060F"/>
          <w:sz w:val="22"/>
        </w:rPr>
      </w:pPr>
      <w:r>
        <w:rPr>
          <w:rFonts w:ascii="Times New Roman" w:hAnsi="Times New Roman"/>
          <w:color w:val="04060F"/>
          <w:sz w:val="22"/>
        </w:rPr>
        <w:t xml:space="preserve">XCharge (Nasdaq: XCH) is a global provider in high-power electric vehicle charging solutions. The Company has headquarters in Hamburg, Germany and Austin, TX, working with a globally networked team to drive innovation in the field of energy and help its customers achieve long-term success. </w:t>
      </w:r>
    </w:p>
    <w:p>
      <w:pPr>
        <w:pStyle w:val="TextBody"/>
        <w:bidi w:val="0"/>
        <w:jc w:val="left"/>
        <w:rPr/>
      </w:pPr>
      <w:r>
        <w:rPr/>
        <w:t> </w:t>
      </w:r>
    </w:p>
    <w:p>
      <w:pPr>
        <w:pStyle w:val="TextBody"/>
        <w:bidi w:val="0"/>
        <w:jc w:val="left"/>
        <w:rPr>
          <w:rFonts w:ascii="Times New Roman" w:hAnsi="Times New Roman"/>
          <w:b/>
          <w:color w:val="04060F"/>
          <w:sz w:val="22"/>
        </w:rPr>
      </w:pPr>
      <w:r>
        <w:rPr>
          <w:rFonts w:ascii="Times New Roman" w:hAnsi="Times New Roman"/>
          <w:b/>
          <w:color w:val="04060F"/>
          <w:sz w:val="22"/>
        </w:rPr>
        <w:t>Safe Harbor Statement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4060F"/>
          <w:sz w:val="22"/>
        </w:rPr>
        <w:t xml:space="preserve">This press release contains forward-looking statements. Such statements are made pursuant to the “safe harbor” provisions of the U.S. Private Securities Litigation Reform Act of 1995. Statements that are not historical facts, including statements about </w:t>
      </w:r>
      <w:r>
        <w:rPr>
          <w:rFonts w:ascii="Times New Roman" w:hAnsi="Times New Roman"/>
          <w:color w:val="000000"/>
          <w:sz w:val="22"/>
        </w:rPr>
        <w:t xml:space="preserve">the Company’s </w:t>
      </w:r>
      <w:r>
        <w:rPr>
          <w:rFonts w:ascii="Times New Roman" w:hAnsi="Times New Roman"/>
          <w:color w:val="04060F"/>
          <w:sz w:val="22"/>
        </w:rPr>
        <w:t xml:space="preserve">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“objective,” “target,” “aim,” “estimate,” “intend,” “plan,” “believe,” “potential,” “continue,” “is/are likely to” or other similar expressions. Further information regarding these and other risks, uncertainties or factors is included in </w:t>
      </w:r>
      <w:r>
        <w:rPr>
          <w:rFonts w:ascii="Times New Roman" w:hAnsi="Times New Roman"/>
          <w:color w:val="000000"/>
          <w:sz w:val="22"/>
        </w:rPr>
        <w:t xml:space="preserve">the Company’s </w:t>
      </w:r>
      <w:r>
        <w:rPr>
          <w:rFonts w:ascii="Times New Roman" w:hAnsi="Times New Roman"/>
          <w:color w:val="04060F"/>
          <w:sz w:val="22"/>
        </w:rPr>
        <w:t>filings with the United States Securities and Exchange Commission.</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4060F"/>
          <w:sz w:val="22"/>
        </w:rPr>
        <w:t xml:space="preserve">All information provided in this press release is as of the date of this press release, and </w:t>
      </w:r>
      <w:r>
        <w:rPr>
          <w:rFonts w:ascii="Times New Roman" w:hAnsi="Times New Roman"/>
          <w:color w:val="000000"/>
          <w:sz w:val="22"/>
        </w:rPr>
        <w:t xml:space="preserve">the Company </w:t>
      </w:r>
      <w:r>
        <w:rPr>
          <w:rFonts w:ascii="Times New Roman" w:hAnsi="Times New Roman"/>
          <w:color w:val="04060F"/>
          <w:sz w:val="22"/>
        </w:rPr>
        <w:t>does not undertake any duty to update such information, except as required under applicable law.</w:t>
      </w:r>
    </w:p>
    <w:p>
      <w:pPr>
        <w:pStyle w:val="TextBody"/>
        <w:bidi w:val="0"/>
        <w:jc w:val="left"/>
        <w:rPr/>
      </w:pPr>
      <w:r>
        <w:rPr/>
        <w:t> </w:t>
      </w:r>
    </w:p>
    <w:p>
      <w:pPr>
        <w:pStyle w:val="TextBody"/>
        <w:bidi w:val="0"/>
        <w:jc w:val="left"/>
        <w:rPr>
          <w:rFonts w:ascii="Times New Roman" w:hAnsi="Times New Roman"/>
          <w:b/>
          <w:color w:val="04060F"/>
          <w:sz w:val="22"/>
        </w:rPr>
      </w:pPr>
      <w:r>
        <w:rPr>
          <w:rFonts w:ascii="Times New Roman" w:hAnsi="Times New Roman"/>
          <w:b/>
          <w:color w:val="04060F"/>
          <w:sz w:val="22"/>
        </w:rPr>
        <w:t>For investor and media inquiries, please contact:</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b/>
          <w:color w:val="04060F"/>
          <w:sz w:val="22"/>
        </w:rPr>
        <w:t xml:space="preserve">XCHG Limited </w:t>
      </w:r>
      <w:r>
        <w:rPr>
          <w:rFonts w:ascii="Times New Roman" w:hAnsi="Times New Roman"/>
          <w:color w:val="04060F"/>
          <w:sz w:val="22"/>
        </w:rPr>
        <w:t>IR Department</w:t>
        <w:br/>
        <w:t xml:space="preserve">Email: </w:t>
      </w:r>
      <w:r>
        <w:rPr>
          <w:rFonts w:ascii="Times New Roman" w:hAnsi="Times New Roman"/>
          <w:sz w:val="22"/>
        </w:rPr>
        <w:t>ir@xcharge.com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2"/>
        </w:rPr>
      </w:pPr>
      <w:r>
        <w:rPr>
          <w:rFonts w:ascii="Times New Roman" w:hAnsi="Times New Roman"/>
          <w:color w:val="04060F"/>
          <w:sz w:val="22"/>
        </w:rPr>
        <w:t>Water Tower Research Asia</w:t>
        <w:br/>
        <w:t>Feifei Shen, CFA</w:t>
        <w:br/>
        <w:t>Tel: +86 134-6656-6136</w:t>
        <w:br/>
        <w:t xml:space="preserve">Email: </w:t>
      </w:r>
      <w:r>
        <w:rPr>
          <w:rFonts w:ascii="Times New Roman" w:hAnsi="Times New Roman"/>
          <w:sz w:val="22"/>
        </w:rPr>
        <w:t>feifei@watertowerresearch.com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833</Words>
  <Characters>4718</Characters>
  <CharactersWithSpaces>5534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